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726BB" w14:textId="720A492F" w:rsidR="00CD455A" w:rsidRPr="00D17794" w:rsidRDefault="00D17794" w:rsidP="00CD455A">
      <w:pPr>
        <w:shd w:val="clear" w:color="auto" w:fill="FFFFFF"/>
        <w:spacing w:after="0" w:line="240" w:lineRule="auto"/>
        <w:jc w:val="both"/>
        <w:rPr>
          <w:rFonts w:ascii="Cambria" w:eastAsia="Times New Roman" w:hAnsi="Cambria" w:cs="Helvetica"/>
          <w:color w:val="1C0CF2"/>
          <w:kern w:val="0"/>
          <w:sz w:val="26"/>
          <w:szCs w:val="26"/>
          <w:lang w:eastAsia="en-GB"/>
          <w14:ligatures w14:val="none"/>
        </w:rPr>
      </w:pPr>
      <w:r w:rsidRPr="00D17794">
        <w:rPr>
          <w:rFonts w:ascii="Cambria" w:eastAsia="Times New Roman" w:hAnsi="Cambria" w:cs="Helvetica"/>
          <w:color w:val="1C0CF2"/>
          <w:kern w:val="0"/>
          <w:sz w:val="26"/>
          <w:szCs w:val="26"/>
          <w:lang w:eastAsia="en-GB"/>
          <w14:ligatures w14:val="none"/>
        </w:rPr>
        <w:t xml:space="preserve">Organisation de l'examen de MCS </w:t>
      </w:r>
      <w:r>
        <w:rPr>
          <w:rFonts w:ascii="Cambria" w:eastAsia="Times New Roman" w:hAnsi="Cambria" w:cs="Helvetica"/>
          <w:color w:val="1C0CF2"/>
          <w:kern w:val="0"/>
          <w:sz w:val="26"/>
          <w:szCs w:val="26"/>
          <w:lang w:eastAsia="en-GB"/>
          <w14:ligatures w14:val="none"/>
        </w:rPr>
        <w:t>–</w:t>
      </w:r>
      <w:r w:rsidRPr="00D17794">
        <w:rPr>
          <w:rFonts w:ascii="Cambria" w:eastAsia="Times New Roman" w:hAnsi="Cambria" w:cs="Helvetica"/>
          <w:color w:val="1C0CF2"/>
          <w:kern w:val="0"/>
          <w:sz w:val="26"/>
          <w:szCs w:val="26"/>
          <w:lang w:eastAsia="en-GB"/>
          <w14:ligatures w14:val="none"/>
        </w:rPr>
        <w:t xml:space="preserve"> thématique, exigences, notation, bibliographie</w:t>
      </w:r>
    </w:p>
    <w:p w14:paraId="4B0D3A09" w14:textId="77777777" w:rsidR="00D17794" w:rsidRPr="00D17794" w:rsidRDefault="00D17794" w:rsidP="00CD455A">
      <w:pPr>
        <w:shd w:val="clear" w:color="auto" w:fill="FFFFFF"/>
        <w:spacing w:after="0" w:line="240" w:lineRule="auto"/>
        <w:jc w:val="both"/>
        <w:rPr>
          <w:rFonts w:ascii="Cambria" w:eastAsia="Times New Roman" w:hAnsi="Cambria" w:cs="Helvetica"/>
          <w:color w:val="1C0CF2"/>
          <w:kern w:val="0"/>
          <w:sz w:val="26"/>
          <w:szCs w:val="26"/>
          <w:lang w:eastAsia="en-GB"/>
          <w14:ligatures w14:val="none"/>
        </w:rPr>
      </w:pPr>
    </w:p>
    <w:p w14:paraId="7FA74FDF" w14:textId="77777777" w:rsidR="00D17794" w:rsidRPr="0070312F" w:rsidRDefault="00D17794" w:rsidP="00CD455A">
      <w:pPr>
        <w:shd w:val="clear" w:color="auto" w:fill="FFFFFF"/>
        <w:spacing w:after="0" w:line="240" w:lineRule="auto"/>
        <w:jc w:val="both"/>
        <w:rPr>
          <w:rFonts w:ascii="Helvetica" w:eastAsia="Times New Roman" w:hAnsi="Helvetica" w:cs="Helvetica"/>
          <w:color w:val="D34949"/>
          <w:kern w:val="0"/>
          <w:lang w:eastAsia="en-GB"/>
          <w14:ligatures w14:val="none"/>
        </w:rPr>
      </w:pPr>
    </w:p>
    <w:tbl>
      <w:tblPr>
        <w:tblW w:w="9285" w:type="dxa"/>
        <w:shd w:val="clear" w:color="auto" w:fill="FFFFFF"/>
        <w:tblCellMar>
          <w:top w:w="15" w:type="dxa"/>
          <w:left w:w="15" w:type="dxa"/>
          <w:bottom w:w="15" w:type="dxa"/>
          <w:right w:w="15" w:type="dxa"/>
        </w:tblCellMar>
        <w:tblLook w:val="04A0" w:firstRow="1" w:lastRow="0" w:firstColumn="1" w:lastColumn="0" w:noHBand="0" w:noVBand="1"/>
      </w:tblPr>
      <w:tblGrid>
        <w:gridCol w:w="855"/>
        <w:gridCol w:w="2790"/>
        <w:gridCol w:w="5640"/>
      </w:tblGrid>
      <w:tr w:rsidR="0070312F" w:rsidRPr="0070312F" w14:paraId="02BA1239" w14:textId="77777777" w:rsidTr="0070312F">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3345D7CF" w14:textId="5E6EC2F2" w:rsidR="00CD455A" w:rsidRPr="0070312F" w:rsidRDefault="0070312F" w:rsidP="00CD455A">
            <w:pPr>
              <w:spacing w:before="100" w:beforeAutospacing="1" w:after="100" w:afterAutospacing="1" w:line="240" w:lineRule="auto"/>
              <w:jc w:val="center"/>
              <w:rPr>
                <w:rFonts w:ascii="Cambria" w:eastAsia="Times New Roman" w:hAnsi="Cambria" w:cs="Helvetica"/>
                <w:b/>
                <w:bCs/>
                <w:kern w:val="0"/>
                <w:sz w:val="20"/>
                <w:szCs w:val="20"/>
                <w:lang w:eastAsia="en-GB"/>
                <w14:ligatures w14:val="none"/>
              </w:rPr>
            </w:pPr>
            <w:r w:rsidRPr="0070312F">
              <w:rPr>
                <w:rFonts w:ascii="Cambria" w:eastAsia="Times New Roman" w:hAnsi="Cambria" w:cs="Helvetica"/>
                <w:b/>
                <w:bCs/>
                <w:kern w:val="0"/>
                <w:sz w:val="20"/>
                <w:szCs w:val="20"/>
                <w:lang w:eastAsia="en-GB"/>
                <w14:ligatures w14:val="none"/>
              </w:rPr>
              <w:t>N</w:t>
            </w:r>
            <w:r w:rsidRPr="0070312F">
              <w:rPr>
                <w:rFonts w:ascii="Cambria" w:eastAsia="Times New Roman" w:hAnsi="Cambria" w:cs="Helvetica"/>
                <w:b/>
                <w:bCs/>
                <w:kern w:val="0"/>
                <w:sz w:val="20"/>
                <w:szCs w:val="20"/>
                <w:lang w:eastAsia="en-GB"/>
                <w14:ligatures w14:val="none"/>
              </w:rPr>
              <w:t>uméro d'ordre</w:t>
            </w:r>
          </w:p>
        </w:tc>
        <w:tc>
          <w:tcPr>
            <w:tcW w:w="2790" w:type="dxa"/>
            <w:tcBorders>
              <w:top w:val="single" w:sz="8" w:space="0" w:color="auto"/>
              <w:left w:val="nil"/>
              <w:bottom w:val="single" w:sz="8" w:space="0" w:color="auto"/>
              <w:right w:val="single" w:sz="8" w:space="0" w:color="auto"/>
            </w:tcBorders>
            <w:shd w:val="clear" w:color="auto" w:fill="FFFFFF"/>
            <w:vAlign w:val="center"/>
            <w:hideMark/>
          </w:tcPr>
          <w:p w14:paraId="1974EE0D"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b/>
                <w:bCs/>
                <w:kern w:val="0"/>
                <w:sz w:val="20"/>
                <w:szCs w:val="20"/>
                <w:lang w:eastAsia="en-GB"/>
                <w14:ligatures w14:val="none"/>
              </w:rPr>
            </w:pPr>
            <w:r w:rsidRPr="0070312F">
              <w:rPr>
                <w:rFonts w:ascii="Cambria" w:eastAsia="Times New Roman" w:hAnsi="Cambria" w:cs="Helvetica"/>
                <w:b/>
                <w:bCs/>
                <w:kern w:val="0"/>
                <w:sz w:val="20"/>
                <w:szCs w:val="20"/>
                <w:lang w:eastAsia="en-GB"/>
                <w14:ligatures w14:val="none"/>
              </w:rPr>
              <w:t>Thèmes</w:t>
            </w:r>
          </w:p>
        </w:tc>
        <w:tc>
          <w:tcPr>
            <w:tcW w:w="5640" w:type="dxa"/>
            <w:tcBorders>
              <w:top w:val="single" w:sz="8" w:space="0" w:color="auto"/>
              <w:left w:val="nil"/>
              <w:bottom w:val="single" w:sz="8" w:space="0" w:color="auto"/>
              <w:right w:val="single" w:sz="8" w:space="0" w:color="auto"/>
            </w:tcBorders>
            <w:shd w:val="clear" w:color="auto" w:fill="FFFFFF"/>
            <w:vAlign w:val="center"/>
            <w:hideMark/>
          </w:tcPr>
          <w:p w14:paraId="35DD37FF"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b/>
                <w:bCs/>
                <w:kern w:val="0"/>
                <w:sz w:val="20"/>
                <w:szCs w:val="20"/>
                <w:lang w:eastAsia="en-GB"/>
                <w14:ligatures w14:val="none"/>
              </w:rPr>
            </w:pPr>
            <w:r w:rsidRPr="0070312F">
              <w:rPr>
                <w:rFonts w:ascii="Cambria" w:eastAsia="Times New Roman" w:hAnsi="Cambria" w:cs="Helvetica"/>
                <w:b/>
                <w:bCs/>
                <w:kern w:val="0"/>
                <w:sz w:val="20"/>
                <w:szCs w:val="20"/>
                <w:lang w:eastAsia="en-GB"/>
                <w14:ligatures w14:val="none"/>
              </w:rPr>
              <w:t>Objectifs pédagogiques (concepts requis)</w:t>
            </w:r>
          </w:p>
        </w:tc>
      </w:tr>
      <w:tr w:rsidR="0070312F" w:rsidRPr="0070312F" w14:paraId="2913F2CF"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hideMark/>
          </w:tcPr>
          <w:p w14:paraId="3759CD5B"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1</w:t>
            </w:r>
          </w:p>
        </w:tc>
        <w:tc>
          <w:tcPr>
            <w:tcW w:w="2790" w:type="dxa"/>
            <w:tcBorders>
              <w:top w:val="nil"/>
              <w:left w:val="nil"/>
              <w:bottom w:val="single" w:sz="8" w:space="0" w:color="auto"/>
              <w:right w:val="single" w:sz="8" w:space="0" w:color="auto"/>
            </w:tcBorders>
            <w:shd w:val="clear" w:color="auto" w:fill="FFFFFF"/>
            <w:vAlign w:val="center"/>
            <w:hideMark/>
          </w:tcPr>
          <w:p w14:paraId="0B27DBD4" w14:textId="3F7CF042" w:rsidR="00CD455A" w:rsidRPr="0070312F" w:rsidRDefault="00CD455A" w:rsidP="00CD455A">
            <w:pPr>
              <w:spacing w:before="100" w:beforeAutospacing="1" w:after="100" w:afterAutospacing="1" w:line="240" w:lineRule="auto"/>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Introduction. </w:t>
            </w:r>
            <w:r w:rsidR="0070312F" w:rsidRPr="0070312F">
              <w:rPr>
                <w:rFonts w:ascii="Cambria" w:eastAsia="Times New Roman" w:hAnsi="Cambria" w:cs="Helvetica"/>
                <w:kern w:val="0"/>
                <w:sz w:val="20"/>
                <w:szCs w:val="20"/>
                <w:lang w:eastAsia="en-GB"/>
                <w14:ligatures w14:val="none"/>
              </w:rPr>
              <w:t>L’i</w:t>
            </w:r>
            <w:r w:rsidRPr="0070312F">
              <w:rPr>
                <w:rFonts w:ascii="Cambria" w:eastAsia="Times New Roman" w:hAnsi="Cambria" w:cs="Helvetica"/>
                <w:kern w:val="0"/>
                <w:sz w:val="20"/>
                <w:szCs w:val="20"/>
                <w:lang w:eastAsia="en-GB"/>
                <w14:ligatures w14:val="none"/>
              </w:rPr>
              <w:t xml:space="preserve">mportance de la </w:t>
            </w:r>
            <w:r w:rsidR="0070312F" w:rsidRPr="0070312F">
              <w:rPr>
                <w:rFonts w:ascii="Cambria" w:eastAsia="Times New Roman" w:hAnsi="Cambria" w:cs="Helvetica"/>
                <w:kern w:val="0"/>
                <w:sz w:val="20"/>
                <w:szCs w:val="20"/>
                <w:lang w:eastAsia="en-GB"/>
                <w14:ligatures w14:val="none"/>
              </w:rPr>
              <w:t>M</w:t>
            </w:r>
            <w:r w:rsidRPr="0070312F">
              <w:rPr>
                <w:rFonts w:ascii="Cambria" w:eastAsia="Times New Roman" w:hAnsi="Cambria" w:cs="Helvetica"/>
                <w:kern w:val="0"/>
                <w:sz w:val="20"/>
                <w:szCs w:val="20"/>
                <w:lang w:eastAsia="en-GB"/>
                <w14:ligatures w14:val="none"/>
              </w:rPr>
              <w:t xml:space="preserve">éthodologie de la </w:t>
            </w:r>
            <w:r w:rsidR="0070312F" w:rsidRPr="0070312F">
              <w:rPr>
                <w:rFonts w:ascii="Cambria" w:eastAsia="Times New Roman" w:hAnsi="Cambria" w:cs="Helvetica"/>
                <w:kern w:val="0"/>
                <w:sz w:val="20"/>
                <w:szCs w:val="20"/>
                <w:lang w:eastAsia="en-GB"/>
                <w14:ligatures w14:val="none"/>
              </w:rPr>
              <w:t>Re</w:t>
            </w:r>
            <w:r w:rsidRPr="0070312F">
              <w:rPr>
                <w:rFonts w:ascii="Cambria" w:eastAsia="Times New Roman" w:hAnsi="Cambria" w:cs="Helvetica"/>
                <w:kern w:val="0"/>
                <w:sz w:val="20"/>
                <w:szCs w:val="20"/>
                <w:lang w:eastAsia="en-GB"/>
                <w14:ligatures w14:val="none"/>
              </w:rPr>
              <w:t xml:space="preserve">cherche </w:t>
            </w:r>
            <w:r w:rsidR="0070312F" w:rsidRPr="0070312F">
              <w:rPr>
                <w:rFonts w:ascii="Cambria" w:eastAsia="Times New Roman" w:hAnsi="Cambria" w:cs="Helvetica"/>
                <w:kern w:val="0"/>
                <w:sz w:val="20"/>
                <w:szCs w:val="20"/>
                <w:lang w:eastAsia="en-GB"/>
                <w14:ligatures w14:val="none"/>
              </w:rPr>
              <w:t>M</w:t>
            </w:r>
            <w:r w:rsidRPr="0070312F">
              <w:rPr>
                <w:rFonts w:ascii="Cambria" w:eastAsia="Times New Roman" w:hAnsi="Cambria" w:cs="Helvetica"/>
                <w:kern w:val="0"/>
                <w:sz w:val="20"/>
                <w:szCs w:val="20"/>
                <w:lang w:eastAsia="en-GB"/>
                <w14:ligatures w14:val="none"/>
              </w:rPr>
              <w:t xml:space="preserve">édicale. </w:t>
            </w:r>
          </w:p>
        </w:tc>
        <w:tc>
          <w:tcPr>
            <w:tcW w:w="5640" w:type="dxa"/>
            <w:tcBorders>
              <w:top w:val="nil"/>
              <w:left w:val="nil"/>
              <w:bottom w:val="single" w:sz="8" w:space="0" w:color="auto"/>
              <w:right w:val="single" w:sz="8" w:space="0" w:color="auto"/>
            </w:tcBorders>
            <w:shd w:val="clear" w:color="auto" w:fill="FFFFFF"/>
            <w:vAlign w:val="center"/>
            <w:hideMark/>
          </w:tcPr>
          <w:p w14:paraId="6BC29213" w14:textId="2D7BB9B6"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Motiv</w:t>
            </w:r>
            <w:r w:rsidR="0070312F" w:rsidRPr="0070312F">
              <w:rPr>
                <w:rFonts w:ascii="Cambria" w:eastAsia="Times New Roman" w:hAnsi="Cambria" w:cs="Helvetica"/>
                <w:kern w:val="0"/>
                <w:sz w:val="20"/>
                <w:szCs w:val="20"/>
                <w:lang w:eastAsia="en-GB"/>
                <w14:ligatures w14:val="none"/>
              </w:rPr>
              <w:t>ation</w:t>
            </w:r>
            <w:r w:rsidRPr="0070312F">
              <w:rPr>
                <w:rFonts w:ascii="Cambria" w:eastAsia="Times New Roman" w:hAnsi="Cambria" w:cs="Helvetica"/>
                <w:kern w:val="0"/>
                <w:sz w:val="20"/>
                <w:szCs w:val="20"/>
                <w:lang w:eastAsia="en-GB"/>
                <w14:ligatures w14:val="none"/>
              </w:rPr>
              <w:t xml:space="preserve"> et </w:t>
            </w:r>
            <w:r w:rsidR="0070312F" w:rsidRPr="0070312F">
              <w:rPr>
                <w:rFonts w:ascii="Cambria" w:eastAsia="Times New Roman" w:hAnsi="Cambria" w:cs="Helvetica"/>
                <w:kern w:val="0"/>
                <w:sz w:val="20"/>
                <w:szCs w:val="20"/>
                <w:lang w:eastAsia="en-GB"/>
                <w14:ligatures w14:val="none"/>
              </w:rPr>
              <w:t>explication de</w:t>
            </w:r>
            <w:r w:rsidRPr="0070312F">
              <w:rPr>
                <w:rFonts w:ascii="Cambria" w:eastAsia="Times New Roman" w:hAnsi="Cambria" w:cs="Helvetica"/>
                <w:kern w:val="0"/>
                <w:sz w:val="20"/>
                <w:szCs w:val="20"/>
                <w:lang w:eastAsia="en-GB"/>
                <w14:ligatures w14:val="none"/>
              </w:rPr>
              <w:t xml:space="preserve"> la nécessité d'étudier et de comprendre la bonne conception et la mise en œuvre des études médicales, ainsi que les règles de l'écriture médicale et la diffusion appropriée des résultats de la recherche</w:t>
            </w:r>
          </w:p>
          <w:p w14:paraId="24E17BFC"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Défini</w:t>
            </w:r>
            <w:r w:rsidR="0070312F" w:rsidRPr="0070312F">
              <w:rPr>
                <w:rFonts w:ascii="Cambria" w:eastAsia="Times New Roman" w:hAnsi="Cambria" w:cs="Helvetica"/>
                <w:kern w:val="0"/>
                <w:sz w:val="20"/>
                <w:szCs w:val="20"/>
                <w:lang w:eastAsia="en-GB"/>
                <w14:ligatures w14:val="none"/>
              </w:rPr>
              <w:t xml:space="preserve">r </w:t>
            </w:r>
            <w:r w:rsidRPr="0070312F">
              <w:rPr>
                <w:rFonts w:ascii="Cambria" w:eastAsia="Times New Roman" w:hAnsi="Cambria" w:cs="Helvetica"/>
                <w:kern w:val="0"/>
                <w:sz w:val="20"/>
                <w:szCs w:val="20"/>
                <w:lang w:eastAsia="en-GB"/>
                <w14:ligatures w14:val="none"/>
              </w:rPr>
              <w:t xml:space="preserve">'information médicale, les données médicales et son </w:t>
            </w:r>
            <w:r w:rsidR="0070312F" w:rsidRPr="0070312F">
              <w:rPr>
                <w:rFonts w:ascii="Cambria" w:eastAsia="Times New Roman" w:hAnsi="Cambria" w:cs="Helvetica"/>
                <w:kern w:val="0"/>
                <w:sz w:val="20"/>
                <w:szCs w:val="20"/>
                <w:lang w:eastAsia="en-GB"/>
                <w14:ligatures w14:val="none"/>
              </w:rPr>
              <w:t xml:space="preserve">analyse </w:t>
            </w:r>
            <w:r w:rsidRPr="0070312F">
              <w:rPr>
                <w:rFonts w:ascii="Cambria" w:eastAsia="Times New Roman" w:hAnsi="Cambria" w:cs="Helvetica"/>
                <w:kern w:val="0"/>
                <w:sz w:val="20"/>
                <w:szCs w:val="20"/>
                <w:lang w:eastAsia="en-GB"/>
                <w14:ligatures w14:val="none"/>
              </w:rPr>
              <w:t xml:space="preserve">(informatique médicale). </w:t>
            </w:r>
          </w:p>
          <w:p w14:paraId="30EA6C0B"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Définit la variabilité biologique et les variables médicales. Classifie les variables médicales par type. </w:t>
            </w:r>
          </w:p>
          <w:p w14:paraId="23ED943A"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Exemplifie les types des variables médicales. </w:t>
            </w:r>
          </w:p>
          <w:p w14:paraId="2960B3F1"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Reconnaît les types de variables médicales dans des cas spécifiques. </w:t>
            </w:r>
          </w:p>
          <w:p w14:paraId="2E30192D"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les moyens de recueillir des informations médicales précises et de les coder en tant que données médicales. </w:t>
            </w:r>
          </w:p>
          <w:p w14:paraId="42E48B2F"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les façons de présenter et de mesurer les données médicales (échelles de mesure) et leur interprétation comme information médicale. </w:t>
            </w:r>
          </w:p>
          <w:p w14:paraId="5AD613BB"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Collecte et code correctement les informations médicales (transforme les informations en données correctement). </w:t>
            </w:r>
          </w:p>
          <w:p w14:paraId="13290E3D" w14:textId="54BC675C" w:rsidR="00CD455A"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Présente correctement les données médicales (reconstruit correctement les informations des données).</w:t>
            </w:r>
          </w:p>
        </w:tc>
      </w:tr>
      <w:tr w:rsidR="0070312F" w:rsidRPr="0070312F" w14:paraId="4F3990BC"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hideMark/>
          </w:tcPr>
          <w:p w14:paraId="7D56AEF6"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2</w:t>
            </w:r>
          </w:p>
        </w:tc>
        <w:tc>
          <w:tcPr>
            <w:tcW w:w="2790" w:type="dxa"/>
            <w:tcBorders>
              <w:top w:val="nil"/>
              <w:left w:val="nil"/>
              <w:bottom w:val="single" w:sz="8" w:space="0" w:color="auto"/>
              <w:right w:val="single" w:sz="8" w:space="0" w:color="auto"/>
            </w:tcBorders>
            <w:shd w:val="clear" w:color="auto" w:fill="FFFFFF"/>
            <w:vAlign w:val="center"/>
            <w:hideMark/>
          </w:tcPr>
          <w:p w14:paraId="1A22D5ED" w14:textId="49BBCFE6" w:rsidR="00CD455A" w:rsidRPr="0070312F" w:rsidRDefault="00CD455A" w:rsidP="0070312F">
            <w:pPr>
              <w:spacing w:before="100" w:beforeAutospacing="1" w:after="100" w:afterAutospacing="1" w:line="240" w:lineRule="auto"/>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Documentation bibliographique</w:t>
            </w:r>
          </w:p>
        </w:tc>
        <w:tc>
          <w:tcPr>
            <w:tcW w:w="5640" w:type="dxa"/>
            <w:tcBorders>
              <w:top w:val="nil"/>
              <w:left w:val="nil"/>
              <w:bottom w:val="single" w:sz="8" w:space="0" w:color="auto"/>
              <w:right w:val="single" w:sz="8" w:space="0" w:color="auto"/>
            </w:tcBorders>
            <w:shd w:val="clear" w:color="auto" w:fill="FFFFFF"/>
            <w:vAlign w:val="center"/>
            <w:hideMark/>
          </w:tcPr>
          <w:p w14:paraId="55190A41"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l'utilité de la documentation bibliographique dans la recherche médicale et la pratique médicale. </w:t>
            </w:r>
          </w:p>
          <w:p w14:paraId="0F970B04"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les étapes de recherche dans lesquelles la documentation bibliographique est nécessaire. </w:t>
            </w:r>
          </w:p>
          <w:p w14:paraId="5CF2A76B"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Exemplifie les bases de données médicales bibliographiques couramment utilisées. </w:t>
            </w:r>
          </w:p>
          <w:p w14:paraId="781EE3FC"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Définit et applique des stratégies de recherche bibliographique en utilisant la technique PICO pour des situations spécifiques. </w:t>
            </w:r>
          </w:p>
          <w:p w14:paraId="7CAC343A"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Utilise l'ordinateur pour la documentation </w:t>
            </w:r>
            <w:proofErr w:type="gramStart"/>
            <w:r w:rsidRPr="0070312F">
              <w:rPr>
                <w:rFonts w:ascii="Cambria" w:eastAsia="Times New Roman" w:hAnsi="Cambria" w:cs="Helvetica"/>
                <w:kern w:val="0"/>
                <w:sz w:val="20"/>
                <w:szCs w:val="20"/>
                <w:lang w:eastAsia="en-GB"/>
                <w14:ligatures w14:val="none"/>
              </w:rPr>
              <w:t>bibliographique:</w:t>
            </w:r>
            <w:proofErr w:type="gramEnd"/>
            <w:r w:rsidRPr="0070312F">
              <w:rPr>
                <w:rFonts w:ascii="Cambria" w:eastAsia="Times New Roman" w:hAnsi="Cambria" w:cs="Helvetica"/>
                <w:kern w:val="0"/>
                <w:sz w:val="20"/>
                <w:szCs w:val="20"/>
                <w:lang w:eastAsia="en-GB"/>
                <w14:ligatures w14:val="none"/>
              </w:rPr>
              <w:t xml:space="preserve"> applique des stratégies de recherche bibliographique en utilisant la technique PICO dans PubMed (MEDLINE). </w:t>
            </w:r>
          </w:p>
          <w:p w14:paraId="7939AE62"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Formule des questions de recherche appropriées. </w:t>
            </w:r>
          </w:p>
          <w:p w14:paraId="22678A74"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Associée correctement les hypothèses à des questions de recherche pertinentes. </w:t>
            </w:r>
          </w:p>
          <w:p w14:paraId="57071270"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Applique des stratégies de recherche pour identifier les sources médicales dans la bibliothèque de UMF Cluj. </w:t>
            </w:r>
          </w:p>
          <w:p w14:paraId="59881D85"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Choisir la documentation pertinente pour des questions de recherche spécifiques. </w:t>
            </w:r>
          </w:p>
          <w:p w14:paraId="409435F6"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Répertorie les composants d'un catalogue bibliographique. </w:t>
            </w:r>
          </w:p>
          <w:p w14:paraId="07A49CBD"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Crée un catalogue bibliographique correct en format électronique sur une question de recherche donnée. </w:t>
            </w:r>
          </w:p>
          <w:p w14:paraId="7E1C19CB"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l'utilité des références dans la recherche. </w:t>
            </w:r>
          </w:p>
          <w:p w14:paraId="54E50174"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et applique le système de référencement de Vancouver pour différents types de textes médicaux (article original, livre, etc.). </w:t>
            </w:r>
          </w:p>
          <w:p w14:paraId="4575B1FA" w14:textId="17167DCE" w:rsidR="00CD455A"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Écrit correctement divers types de références selon le système de Vancouver.</w:t>
            </w:r>
          </w:p>
        </w:tc>
      </w:tr>
      <w:tr w:rsidR="0070312F" w:rsidRPr="0070312F" w14:paraId="28B4ED7E" w14:textId="77777777" w:rsidTr="00A420E6">
        <w:tc>
          <w:tcPr>
            <w:tcW w:w="855" w:type="dxa"/>
            <w:tcBorders>
              <w:top w:val="nil"/>
              <w:left w:val="single" w:sz="8" w:space="0" w:color="auto"/>
              <w:bottom w:val="single" w:sz="8" w:space="0" w:color="auto"/>
              <w:right w:val="single" w:sz="8" w:space="0" w:color="auto"/>
            </w:tcBorders>
            <w:shd w:val="clear" w:color="auto" w:fill="FFFFFF"/>
            <w:vAlign w:val="center"/>
            <w:hideMark/>
          </w:tcPr>
          <w:p w14:paraId="6E725469"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lastRenderedPageBreak/>
              <w:t>3</w:t>
            </w:r>
          </w:p>
        </w:tc>
        <w:tc>
          <w:tcPr>
            <w:tcW w:w="2790" w:type="dxa"/>
            <w:tcBorders>
              <w:top w:val="nil"/>
              <w:left w:val="nil"/>
              <w:bottom w:val="single" w:sz="8" w:space="0" w:color="auto"/>
              <w:right w:val="single" w:sz="8" w:space="0" w:color="auto"/>
            </w:tcBorders>
            <w:shd w:val="clear" w:color="auto" w:fill="FFFFFF"/>
            <w:vAlign w:val="center"/>
            <w:hideMark/>
          </w:tcPr>
          <w:p w14:paraId="331D315D" w14:textId="12502D77" w:rsidR="00CD455A" w:rsidRPr="0070312F" w:rsidRDefault="00CD455A" w:rsidP="00A420E6">
            <w:pPr>
              <w:spacing w:before="100" w:beforeAutospacing="1" w:after="100" w:afterAutospacing="1" w:line="240" w:lineRule="auto"/>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Séquences (phases) de la recherche médicale. </w:t>
            </w:r>
            <w:r w:rsidR="00A420E6">
              <w:rPr>
                <w:rFonts w:ascii="Cambria" w:eastAsia="Times New Roman" w:hAnsi="Cambria" w:cs="Helvetica"/>
                <w:kern w:val="0"/>
                <w:sz w:val="20"/>
                <w:szCs w:val="20"/>
                <w:lang w:eastAsia="en-GB"/>
                <w14:ligatures w14:val="none"/>
              </w:rPr>
              <w:t xml:space="preserve"> </w:t>
            </w:r>
            <w:r w:rsidRPr="0070312F">
              <w:rPr>
                <w:rFonts w:ascii="Cambria" w:eastAsia="Times New Roman" w:hAnsi="Cambria" w:cs="Helvetica"/>
                <w:kern w:val="0"/>
                <w:sz w:val="20"/>
                <w:szCs w:val="20"/>
                <w:lang w:eastAsia="en-GB"/>
                <w14:ligatures w14:val="none"/>
              </w:rPr>
              <w:t>Le protocole de recherche. Variables d'étude. Types de recherche. L'équipe de recherche.</w:t>
            </w:r>
          </w:p>
        </w:tc>
        <w:tc>
          <w:tcPr>
            <w:tcW w:w="5640" w:type="dxa"/>
            <w:tcBorders>
              <w:top w:val="nil"/>
              <w:left w:val="nil"/>
              <w:bottom w:val="single" w:sz="8" w:space="0" w:color="auto"/>
              <w:right w:val="single" w:sz="8" w:space="0" w:color="auto"/>
            </w:tcBorders>
            <w:shd w:val="clear" w:color="auto" w:fill="FFFFFF"/>
            <w:vAlign w:val="center"/>
            <w:hideMark/>
          </w:tcPr>
          <w:p w14:paraId="18D8D7F3" w14:textId="3E67A5D2"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Formule</w:t>
            </w:r>
            <w:r w:rsidR="0070312F" w:rsidRPr="0070312F">
              <w:rPr>
                <w:rFonts w:ascii="Cambria" w:eastAsia="Times New Roman" w:hAnsi="Cambria" w:cs="Helvetica"/>
                <w:kern w:val="0"/>
                <w:sz w:val="20"/>
                <w:szCs w:val="20"/>
                <w:lang w:eastAsia="en-GB"/>
                <w14:ligatures w14:val="none"/>
              </w:rPr>
              <w:t>r</w:t>
            </w:r>
            <w:r w:rsidRPr="0070312F">
              <w:rPr>
                <w:rFonts w:ascii="Cambria" w:eastAsia="Times New Roman" w:hAnsi="Cambria" w:cs="Helvetica"/>
                <w:kern w:val="0"/>
                <w:sz w:val="20"/>
                <w:szCs w:val="20"/>
                <w:lang w:eastAsia="en-GB"/>
                <w14:ligatures w14:val="none"/>
              </w:rPr>
              <w:t xml:space="preserve"> les séquences (phases) d'une étude médicale. </w:t>
            </w:r>
          </w:p>
          <w:p w14:paraId="47316275" w14:textId="39A21053"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Nommer et expliquer les composantes d'un protocole de recherche médicale. </w:t>
            </w:r>
          </w:p>
          <w:p w14:paraId="73C66B7F" w14:textId="295133B2"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Identifie</w:t>
            </w:r>
            <w:r w:rsidR="0070312F" w:rsidRPr="0070312F">
              <w:rPr>
                <w:rFonts w:ascii="Cambria" w:eastAsia="Times New Roman" w:hAnsi="Cambria" w:cs="Helvetica"/>
                <w:kern w:val="0"/>
                <w:sz w:val="20"/>
                <w:szCs w:val="20"/>
                <w:lang w:eastAsia="en-GB"/>
                <w14:ligatures w14:val="none"/>
              </w:rPr>
              <w:t>r</w:t>
            </w:r>
            <w:r w:rsidRPr="0070312F">
              <w:rPr>
                <w:rFonts w:ascii="Cambria" w:eastAsia="Times New Roman" w:hAnsi="Cambria" w:cs="Helvetica"/>
                <w:kern w:val="0"/>
                <w:sz w:val="20"/>
                <w:szCs w:val="20"/>
                <w:lang w:eastAsia="en-GB"/>
                <w14:ligatures w14:val="none"/>
              </w:rPr>
              <w:t xml:space="preserve"> les composantes du protocole de recherche pour des scénarios de recherche spécifiques. </w:t>
            </w:r>
          </w:p>
          <w:p w14:paraId="6D939EEC"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Nommer et expliquer les types de collecte de données dans les études médicales. </w:t>
            </w:r>
          </w:p>
          <w:p w14:paraId="0DB39BAB"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Nommer et expliquer les types d'échantillonnage (probabiliste et non probabiliste) dans les études médicales. </w:t>
            </w:r>
          </w:p>
          <w:p w14:paraId="59FFC979"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Formule</w:t>
            </w:r>
            <w:r w:rsidR="0070312F" w:rsidRPr="0070312F">
              <w:rPr>
                <w:rFonts w:ascii="Cambria" w:eastAsia="Times New Roman" w:hAnsi="Cambria" w:cs="Helvetica"/>
                <w:kern w:val="0"/>
                <w:sz w:val="20"/>
                <w:szCs w:val="20"/>
                <w:lang w:eastAsia="en-GB"/>
                <w14:ligatures w14:val="none"/>
              </w:rPr>
              <w:t>r</w:t>
            </w:r>
            <w:r w:rsidRPr="0070312F">
              <w:rPr>
                <w:rFonts w:ascii="Cambria" w:eastAsia="Times New Roman" w:hAnsi="Cambria" w:cs="Helvetica"/>
                <w:kern w:val="0"/>
                <w:sz w:val="20"/>
                <w:szCs w:val="20"/>
                <w:lang w:eastAsia="en-GB"/>
                <w14:ligatures w14:val="none"/>
              </w:rPr>
              <w:t xml:space="preserve"> le but et les objectifs pour des scénarios de recherche spécifiques. </w:t>
            </w:r>
          </w:p>
          <w:p w14:paraId="0A077FD5"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Formule des hypothèses pour des scénarios de recherche spécifiques. </w:t>
            </w:r>
          </w:p>
          <w:p w14:paraId="4434B7F4"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Reconnaître correctement le domaine de la recherche clinique. Reconnaît et classe les études médicales par type (en fonction des objectifs et des résultats escomptés). </w:t>
            </w:r>
          </w:p>
          <w:p w14:paraId="53F429DB"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Définit correctement la population cible et la population accessible d'une étude médicale. </w:t>
            </w:r>
          </w:p>
          <w:p w14:paraId="04A9FAC4"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Formule correctement les critères d'inclusion et d'exclusion pour un échantillon d'étude dans un scénario de recherche donné. Identifie correctement le type de collecte de données pour un scénario de recherche donné. </w:t>
            </w:r>
          </w:p>
          <w:p w14:paraId="0F90EA38"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Appliquer correctement des méthodes pour décrire différents types de variables dans des études médicales spécifiques à l'aide de logiciels statistiques (tableaux, graphiques et statistiques descriptives). </w:t>
            </w:r>
          </w:p>
          <w:p w14:paraId="602AEF0D" w14:textId="77777777" w:rsidR="0070312F"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le sens des résultats descriptifs des études médicales concrètes (tableaux, graphiques et statistiques descriptives). Lister les méthodes correctes d'analyse des données pour différents types de variables dans les études médicales concrètes (tests statistiques, corrélation, modèles de régression, indicateurs statistiques et médicaux). </w:t>
            </w:r>
          </w:p>
          <w:p w14:paraId="09C2BCE6" w14:textId="77777777" w:rsid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Appliquer des méthodes correctes d'analyse des données pour différents types de variables dans des études médicales concrètes utilisant des logiciels statistiques (tests statistiques, corrélation, modèles de régression, indicateurs statistiques et médicaux). </w:t>
            </w:r>
          </w:p>
          <w:p w14:paraId="01FB81F3" w14:textId="2DDCC43C" w:rsidR="00CD455A" w:rsidRPr="0070312F" w:rsidRDefault="00CD455A" w:rsidP="0070312F">
            <w:pPr>
              <w:pStyle w:val="ListParagraph"/>
              <w:numPr>
                <w:ilvl w:val="0"/>
                <w:numId w:val="3"/>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 xml:space="preserve">Explique la signification des résultats analytiques </w:t>
            </w:r>
            <w:r w:rsidR="0070312F">
              <w:rPr>
                <w:rFonts w:ascii="Cambria" w:eastAsia="Times New Roman" w:hAnsi="Cambria" w:cs="Helvetica"/>
                <w:kern w:val="0"/>
                <w:sz w:val="20"/>
                <w:szCs w:val="20"/>
                <w:lang w:eastAsia="en-GB"/>
                <w14:ligatures w14:val="none"/>
              </w:rPr>
              <w:t>s</w:t>
            </w:r>
            <w:r w:rsidRPr="0070312F">
              <w:rPr>
                <w:rFonts w:ascii="Cambria" w:eastAsia="Times New Roman" w:hAnsi="Cambria" w:cs="Helvetica"/>
                <w:kern w:val="0"/>
                <w:sz w:val="20"/>
                <w:szCs w:val="20"/>
                <w:lang w:eastAsia="en-GB"/>
                <w14:ligatures w14:val="none"/>
              </w:rPr>
              <w:t>pécifiques des études médicales (tests, corrélation, modèles de régression, indicateurs statistiques et médicaux).</w:t>
            </w:r>
          </w:p>
        </w:tc>
      </w:tr>
      <w:tr w:rsidR="0070312F" w:rsidRPr="0070312F" w14:paraId="1D0D9FE9"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hideMark/>
          </w:tcPr>
          <w:p w14:paraId="4007C6AE"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4</w:t>
            </w:r>
          </w:p>
        </w:tc>
        <w:tc>
          <w:tcPr>
            <w:tcW w:w="2790" w:type="dxa"/>
            <w:tcBorders>
              <w:top w:val="nil"/>
              <w:left w:val="nil"/>
              <w:bottom w:val="single" w:sz="8" w:space="0" w:color="auto"/>
              <w:right w:val="single" w:sz="8" w:space="0" w:color="auto"/>
            </w:tcBorders>
            <w:shd w:val="clear" w:color="auto" w:fill="FFFFFF"/>
            <w:vAlign w:val="center"/>
            <w:hideMark/>
          </w:tcPr>
          <w:p w14:paraId="7A5EEDC6" w14:textId="28ECFBEF" w:rsidR="00CD455A" w:rsidRPr="0070312F" w:rsidRDefault="00CD455A" w:rsidP="00216C6C">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Études évaluant les facteurs pronostiques des maladies</w:t>
            </w:r>
          </w:p>
        </w:tc>
        <w:tc>
          <w:tcPr>
            <w:tcW w:w="5640" w:type="dxa"/>
            <w:tcBorders>
              <w:top w:val="nil"/>
              <w:left w:val="nil"/>
              <w:bottom w:val="single" w:sz="8" w:space="0" w:color="auto"/>
              <w:right w:val="single" w:sz="8" w:space="0" w:color="auto"/>
            </w:tcBorders>
            <w:shd w:val="clear" w:color="auto" w:fill="FFFFFF"/>
            <w:vAlign w:val="center"/>
            <w:hideMark/>
          </w:tcPr>
          <w:p w14:paraId="1FF27F69"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les études descriptives comme sources des nouvelles hypothèses. </w:t>
            </w:r>
          </w:p>
          <w:p w14:paraId="26D4C163" w14:textId="42CF2606" w:rsidR="00CD455A"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Explique les questions de recherche descriptives, par opposition aux questions de recherche analytique.</w:t>
            </w:r>
          </w:p>
          <w:p w14:paraId="0D381720"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Définit les études d'évaluation des facteurs pronostiques (impliqués dans différentes pathologies). </w:t>
            </w:r>
          </w:p>
          <w:p w14:paraId="7B1A36D3"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différents types d'études d'évaluation des facteurs pronostiques. </w:t>
            </w:r>
          </w:p>
          <w:p w14:paraId="61B198B0"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la méthodologie des études d'évaluation des facteurs pronostiques. </w:t>
            </w:r>
          </w:p>
          <w:p w14:paraId="07AAACE3"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Construit des tableaux de contingence basés sur des données provenant de scénarios de recherche spécifiques des facteurs pronostiques ou basés sur des fichiers de données. </w:t>
            </w:r>
          </w:p>
          <w:p w14:paraId="446D34EE"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lastRenderedPageBreak/>
              <w:t xml:space="preserve">Tester l'existence de liens entre les facteurs pronostiques et les maladies. </w:t>
            </w:r>
          </w:p>
          <w:p w14:paraId="53F3A955"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Calcule des indicateurs médicaux / sanitaires pour quantifier l'importance des liens entre les facteurs pronostiques et les maladies. </w:t>
            </w:r>
          </w:p>
          <w:p w14:paraId="28E8A42F"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Évalue l'existence d'un lien de causalité entre la présence de facteurs pronostiques et le développement de maladies d'intérêt. Choisir et justifier des indicateurs médicaux appropriés pour quantifier la relation entre les facteurs pronostiques et les maladies. </w:t>
            </w:r>
          </w:p>
          <w:p w14:paraId="1F1B9069"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Interpréter statistiquement les indicateurs médicaux utilisés pour quantifier la relation entre les facteurs pronostiques et les maladies (estimations ponctuelles et leurs intervalles de confiance de 95%).</w:t>
            </w:r>
          </w:p>
          <w:p w14:paraId="632085D8" w14:textId="069F2000"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Interprète cliniquement les indicateurs médicaux utilisés pour quantifier la relation entre les facteurs pronostiques et les maladies (estimations ponctuelles et leurs intervalles de confiance à 95%). </w:t>
            </w:r>
          </w:p>
          <w:p w14:paraId="4B0BC190" w14:textId="7F7FC11E" w:rsidR="00CD455A"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Évalue la précision et l'importance clinique de ces résultats. Discrimination entre précision et précision / validité des résultats.</w:t>
            </w:r>
          </w:p>
        </w:tc>
      </w:tr>
      <w:tr w:rsidR="0070312F" w:rsidRPr="0070312F" w14:paraId="17C8A3C1"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hideMark/>
          </w:tcPr>
          <w:p w14:paraId="2EBC6505"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lastRenderedPageBreak/>
              <w:t>5</w:t>
            </w:r>
          </w:p>
        </w:tc>
        <w:tc>
          <w:tcPr>
            <w:tcW w:w="2790" w:type="dxa"/>
            <w:tcBorders>
              <w:top w:val="nil"/>
              <w:left w:val="nil"/>
              <w:bottom w:val="single" w:sz="8" w:space="0" w:color="auto"/>
              <w:right w:val="single" w:sz="8" w:space="0" w:color="auto"/>
            </w:tcBorders>
            <w:shd w:val="clear" w:color="auto" w:fill="FFFFFF"/>
            <w:vAlign w:val="center"/>
            <w:hideMark/>
          </w:tcPr>
          <w:p w14:paraId="0C7C2D36"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Études évaluant les méthodes / tests de diagnostic.</w:t>
            </w:r>
          </w:p>
        </w:tc>
        <w:tc>
          <w:tcPr>
            <w:tcW w:w="5640" w:type="dxa"/>
            <w:tcBorders>
              <w:top w:val="nil"/>
              <w:left w:val="nil"/>
              <w:bottom w:val="single" w:sz="8" w:space="0" w:color="auto"/>
              <w:right w:val="single" w:sz="8" w:space="0" w:color="auto"/>
            </w:tcBorders>
            <w:shd w:val="clear" w:color="auto" w:fill="FFFFFF"/>
            <w:vAlign w:val="center"/>
            <w:hideMark/>
          </w:tcPr>
          <w:p w14:paraId="2D421B37"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Définit les études d'évaluation des tests diagnostiques. </w:t>
            </w:r>
          </w:p>
          <w:p w14:paraId="0C3E98AF"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les quatre phases de l'évaluation des tests diagnostiques. </w:t>
            </w:r>
          </w:p>
          <w:p w14:paraId="7BB28A66"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la méthodologie des études évaluant les tests diagnostiques. </w:t>
            </w:r>
          </w:p>
          <w:p w14:paraId="0B71BE3E"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Construire des tableaux de contingence basés sur des données provenant de scénarios de recherche spécifiques des tests de diagnostic ou basés sur des fichiers de données. </w:t>
            </w:r>
          </w:p>
          <w:p w14:paraId="6E6ED8DE"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Tester l'existence de liens entre les résultats des tests diagnostiques comparés. </w:t>
            </w:r>
          </w:p>
          <w:p w14:paraId="07DC53AE"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Calcule des indicateurs médicaux pour quantifier les qualités des tests diagnostiques. </w:t>
            </w:r>
          </w:p>
          <w:p w14:paraId="633AFDA4" w14:textId="77777777" w:rsid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Choisit et justifie des indicateurs médicaux adaptés pour mesurer les qualités des tests diagnostiques (dépistage / confirmation). </w:t>
            </w:r>
          </w:p>
          <w:p w14:paraId="794788BD" w14:textId="408C58E4"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Interpréter statistiquement les indicateurs médicaux utilisés pour quantifier les qualités des tests diagnostiques (estimations ponctuelles et leurs intervalles de confiance à 95%). </w:t>
            </w:r>
          </w:p>
          <w:p w14:paraId="1C0860CC" w14:textId="77777777" w:rsidR="00216C6C"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Interprète cliniquement les indicateurs médicaux utilisés pour quantifier les qualités des tests diagnostiques (estimations ponctuelles et leurs intervalles de confiance à 95%). </w:t>
            </w:r>
          </w:p>
          <w:p w14:paraId="12DF3388" w14:textId="4855BB89" w:rsidR="00CD455A" w:rsidRPr="00216C6C" w:rsidRDefault="00CD455A" w:rsidP="00564607">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Évalue la précision et l'importance clinique de ces résultats. Discrimination entre précision et précision / validité des résultats.</w:t>
            </w:r>
          </w:p>
        </w:tc>
      </w:tr>
      <w:tr w:rsidR="0070312F" w:rsidRPr="0070312F" w14:paraId="170BD5F4"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hideMark/>
          </w:tcPr>
          <w:p w14:paraId="073ED133"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6</w:t>
            </w:r>
          </w:p>
        </w:tc>
        <w:tc>
          <w:tcPr>
            <w:tcW w:w="2790" w:type="dxa"/>
            <w:tcBorders>
              <w:top w:val="nil"/>
              <w:left w:val="nil"/>
              <w:bottom w:val="single" w:sz="8" w:space="0" w:color="auto"/>
              <w:right w:val="single" w:sz="8" w:space="0" w:color="auto"/>
            </w:tcBorders>
            <w:shd w:val="clear" w:color="auto" w:fill="FFFFFF"/>
            <w:vAlign w:val="center"/>
            <w:hideMark/>
          </w:tcPr>
          <w:p w14:paraId="0FEC39D8"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Études évaluant les approches thérapeutiques / les options de traitement.</w:t>
            </w:r>
          </w:p>
        </w:tc>
        <w:tc>
          <w:tcPr>
            <w:tcW w:w="5640" w:type="dxa"/>
            <w:tcBorders>
              <w:top w:val="nil"/>
              <w:left w:val="nil"/>
              <w:bottom w:val="single" w:sz="8" w:space="0" w:color="auto"/>
              <w:right w:val="single" w:sz="8" w:space="0" w:color="auto"/>
            </w:tcBorders>
            <w:shd w:val="clear" w:color="auto" w:fill="FFFFFF"/>
            <w:vAlign w:val="center"/>
            <w:hideMark/>
          </w:tcPr>
          <w:p w14:paraId="3FD78EB7"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Définit les études d'évaluation des options thérapeutiques. Explique différentes approches dans l'évaluation des options de traitement. </w:t>
            </w:r>
          </w:p>
          <w:p w14:paraId="2830531A"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les approches méthodologiques possibles des études d'évaluation expérimentale des approches thérapeutiques (types d'essais cliniques, Phases I, II, III, IV). </w:t>
            </w:r>
          </w:p>
          <w:p w14:paraId="12C566F5"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lastRenderedPageBreak/>
              <w:t xml:space="preserve">Construit des tableaux de contingence basés sur des données issues de scénarios de recherche spécifiques d'essais cliniques, ou basés sur des fichiers de données. </w:t>
            </w:r>
          </w:p>
          <w:p w14:paraId="647E9F56"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Tester l'existence des liens entre les facteurs thérapeutiques évalués et les événements expérimentaux définis dans </w:t>
            </w:r>
            <w:proofErr w:type="gramStart"/>
            <w:r w:rsidRPr="00216C6C">
              <w:rPr>
                <w:rFonts w:ascii="Cambria" w:eastAsia="Times New Roman" w:hAnsi="Cambria" w:cs="Helvetica"/>
                <w:kern w:val="0"/>
                <w:sz w:val="20"/>
                <w:szCs w:val="20"/>
                <w:lang w:eastAsia="en-GB"/>
                <w14:ligatures w14:val="none"/>
              </w:rPr>
              <w:t>l'étude;</w:t>
            </w:r>
            <w:proofErr w:type="gramEnd"/>
            <w:r w:rsidRPr="00216C6C">
              <w:rPr>
                <w:rFonts w:ascii="Cambria" w:eastAsia="Times New Roman" w:hAnsi="Cambria" w:cs="Helvetica"/>
                <w:kern w:val="0"/>
                <w:sz w:val="20"/>
                <w:szCs w:val="20"/>
                <w:lang w:eastAsia="en-GB"/>
                <w14:ligatures w14:val="none"/>
              </w:rPr>
              <w:t xml:space="preserve"> Évaluant l'existence d'un lien de causalité entre eux. Calcule des indicateurs médicaux pour quantifier l'efficacité thérapeutique / la sécurité. </w:t>
            </w:r>
          </w:p>
          <w:p w14:paraId="4DCEC30D"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Choisit et justifie des indicateurs médicaux appropriés pour mesurer l'efficacité thérapeutique / la sécurité. Interpréter statistiquement les indicateurs médicaux utilisés pour quantifier l'efficacité thérapeutique / la sécurité (estimations ponctuelles et leurs intervalles de confiance à 95%). </w:t>
            </w:r>
          </w:p>
          <w:p w14:paraId="5F7CB5ED"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Interprète cliniquement les indicateurs médicaux utilisés pour quantifier l'efficacité / la sécurité thérapeutiques (estimations ponctuelles et leurs intervalles de confiance à 95%).</w:t>
            </w:r>
          </w:p>
          <w:p w14:paraId="7473BC4D" w14:textId="22AA3810" w:rsidR="00CD455A"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Évalue</w:t>
            </w:r>
            <w:r w:rsidR="00216C6C" w:rsidRPr="00216C6C">
              <w:rPr>
                <w:rFonts w:ascii="Cambria" w:eastAsia="Times New Roman" w:hAnsi="Cambria" w:cs="Helvetica"/>
                <w:kern w:val="0"/>
                <w:sz w:val="20"/>
                <w:szCs w:val="20"/>
                <w:lang w:eastAsia="en-GB"/>
                <w14:ligatures w14:val="none"/>
              </w:rPr>
              <w:t>r</w:t>
            </w:r>
            <w:r w:rsidRPr="00216C6C">
              <w:rPr>
                <w:rFonts w:ascii="Cambria" w:eastAsia="Times New Roman" w:hAnsi="Cambria" w:cs="Helvetica"/>
                <w:kern w:val="0"/>
                <w:sz w:val="20"/>
                <w:szCs w:val="20"/>
                <w:lang w:eastAsia="en-GB"/>
                <w14:ligatures w14:val="none"/>
              </w:rPr>
              <w:t xml:space="preserve"> la précision et l'importance clinique de ces résultats. Discrimination entre précision et précision / validité des résultats.</w:t>
            </w:r>
          </w:p>
        </w:tc>
      </w:tr>
      <w:tr w:rsidR="0070312F" w:rsidRPr="0070312F" w14:paraId="3467BE55"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hideMark/>
          </w:tcPr>
          <w:p w14:paraId="3C1BAE68"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lastRenderedPageBreak/>
              <w:t>7</w:t>
            </w:r>
          </w:p>
        </w:tc>
        <w:tc>
          <w:tcPr>
            <w:tcW w:w="2790" w:type="dxa"/>
            <w:tcBorders>
              <w:top w:val="nil"/>
              <w:left w:val="nil"/>
              <w:bottom w:val="single" w:sz="8" w:space="0" w:color="auto"/>
              <w:right w:val="single" w:sz="8" w:space="0" w:color="auto"/>
            </w:tcBorders>
            <w:shd w:val="clear" w:color="auto" w:fill="FFFFFF"/>
            <w:vAlign w:val="center"/>
            <w:hideMark/>
          </w:tcPr>
          <w:p w14:paraId="0CFEB18A" w14:textId="77777777" w:rsidR="00CD455A" w:rsidRPr="0070312F" w:rsidRDefault="00CD455A" w:rsidP="00CD455A">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Études d'analyse de survie</w:t>
            </w:r>
          </w:p>
        </w:tc>
        <w:tc>
          <w:tcPr>
            <w:tcW w:w="5640" w:type="dxa"/>
            <w:tcBorders>
              <w:top w:val="nil"/>
              <w:left w:val="nil"/>
              <w:bottom w:val="single" w:sz="8" w:space="0" w:color="auto"/>
              <w:right w:val="single" w:sz="8" w:space="0" w:color="auto"/>
            </w:tcBorders>
            <w:shd w:val="clear" w:color="auto" w:fill="FFFFFF"/>
            <w:vAlign w:val="center"/>
            <w:hideMark/>
          </w:tcPr>
          <w:p w14:paraId="4113D8B3"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Définit les études de survie (études d’évaluation du temps passée jusqu’à l’apparition d’un événement).</w:t>
            </w:r>
          </w:p>
          <w:p w14:paraId="3FE7AFF4" w14:textId="14EABFAC"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Explique les principales caractéristiques des variables de survie. Explique la méthodologie des études de survie. T</w:t>
            </w:r>
          </w:p>
          <w:p w14:paraId="1D5738EF"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proofErr w:type="gramStart"/>
            <w:r w:rsidRPr="00216C6C">
              <w:rPr>
                <w:rFonts w:ascii="Cambria" w:eastAsia="Times New Roman" w:hAnsi="Cambria" w:cs="Helvetica"/>
                <w:kern w:val="0"/>
                <w:sz w:val="20"/>
                <w:szCs w:val="20"/>
                <w:lang w:eastAsia="en-GB"/>
                <w14:ligatures w14:val="none"/>
              </w:rPr>
              <w:t>ester</w:t>
            </w:r>
            <w:proofErr w:type="gramEnd"/>
            <w:r w:rsidRPr="00216C6C">
              <w:rPr>
                <w:rFonts w:ascii="Cambria" w:eastAsia="Times New Roman" w:hAnsi="Cambria" w:cs="Helvetica"/>
                <w:kern w:val="0"/>
                <w:sz w:val="20"/>
                <w:szCs w:val="20"/>
                <w:lang w:eastAsia="en-GB"/>
                <w14:ligatures w14:val="none"/>
              </w:rPr>
              <w:t xml:space="preserve"> l'existence de liens entre les facteurs pronostiques et le temps / la probabilité de survie. </w:t>
            </w:r>
          </w:p>
          <w:p w14:paraId="672010C0"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Calcule les indicateurs médicaux pour quantifier l'importance des liens entre les facteurs pronostiques et le temps / la probabilité de survie. </w:t>
            </w:r>
          </w:p>
          <w:p w14:paraId="407324FE"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Choisir et justifier les indicateurs médicaux appropriés utilisés pour quantifier l'importance des liens entre les facteurs pronostiques et le temps / la probabilité de survie.</w:t>
            </w:r>
          </w:p>
          <w:p w14:paraId="057DB6BC" w14:textId="313DE7C0"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Interpréter statistiquement les indicateurs médicaux utilisés pour quantifier l'importance des liens entre les facteurs pronostiques et le temps / la probabilité de survie (estimations ponctuelles et leurs intervalles de confiance à 95%). </w:t>
            </w:r>
          </w:p>
          <w:p w14:paraId="722F921C" w14:textId="77777777" w:rsidR="00216C6C"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Interprète cliniquement les indicateurs médicaux utilisés pour quantifier l'importance des liens entre les facteurs pronostiques et le temps / la probabilité de survie (estimations ponctuelles et leurs intervalles de confiance à 95%). </w:t>
            </w:r>
          </w:p>
          <w:p w14:paraId="21EDA1DF" w14:textId="42D7F71B" w:rsidR="00CD455A" w:rsidRPr="00216C6C" w:rsidRDefault="00CD455A" w:rsidP="00216C6C">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Évalue la précision et l'importance clinique de ces résultats. Discrimination entre précision et précision / validité des résultats.</w:t>
            </w:r>
          </w:p>
        </w:tc>
      </w:tr>
      <w:tr w:rsidR="00A420E6" w:rsidRPr="0070312F" w14:paraId="013226DE"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tcPr>
          <w:p w14:paraId="0E5E119D" w14:textId="3BC0BB58"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Pr>
                <w:rFonts w:ascii="Cambria" w:eastAsia="Times New Roman" w:hAnsi="Cambria" w:cs="Helvetica"/>
                <w:kern w:val="0"/>
                <w:sz w:val="20"/>
                <w:szCs w:val="20"/>
                <w:lang w:eastAsia="en-GB"/>
                <w14:ligatures w14:val="none"/>
              </w:rPr>
              <w:t>8</w:t>
            </w:r>
          </w:p>
        </w:tc>
        <w:tc>
          <w:tcPr>
            <w:tcW w:w="2790" w:type="dxa"/>
            <w:tcBorders>
              <w:top w:val="nil"/>
              <w:left w:val="nil"/>
              <w:bottom w:val="single" w:sz="8" w:space="0" w:color="auto"/>
              <w:right w:val="single" w:sz="8" w:space="0" w:color="auto"/>
            </w:tcBorders>
            <w:shd w:val="clear" w:color="auto" w:fill="FFFFFF"/>
            <w:vAlign w:val="center"/>
          </w:tcPr>
          <w:p w14:paraId="49D65A66" w14:textId="35BC9741"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Écriture médicale et communication des résultats de la recherche</w:t>
            </w:r>
          </w:p>
        </w:tc>
        <w:tc>
          <w:tcPr>
            <w:tcW w:w="5640" w:type="dxa"/>
            <w:tcBorders>
              <w:top w:val="nil"/>
              <w:left w:val="nil"/>
              <w:bottom w:val="single" w:sz="8" w:space="0" w:color="auto"/>
              <w:right w:val="single" w:sz="8" w:space="0" w:color="auto"/>
            </w:tcBorders>
            <w:shd w:val="clear" w:color="auto" w:fill="FFFFFF"/>
            <w:vAlign w:val="center"/>
          </w:tcPr>
          <w:p w14:paraId="1F037A2C"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Enumère et décrire les principaux types de publications scientifiques médicales. </w:t>
            </w:r>
          </w:p>
          <w:p w14:paraId="6372B07D"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Énumère et explique les objectifs et les qualités de l'écriture médicale scientifique. </w:t>
            </w:r>
          </w:p>
          <w:p w14:paraId="41E9A8B1"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Énumère et explique les principes de l'écriture scientifique médicale. </w:t>
            </w:r>
          </w:p>
          <w:p w14:paraId="3BF95CC0"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Décrit la structure et les chapitres d'une thèse de licence en médecine. </w:t>
            </w:r>
          </w:p>
          <w:p w14:paraId="68681268"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lastRenderedPageBreak/>
              <w:t xml:space="preserve">Indique et explique le contenu de chaque chapitre d'une thèse de licence en médecine. </w:t>
            </w:r>
          </w:p>
          <w:p w14:paraId="7B9705C1"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Décrit la structure et les chapitres d'un article de recherche original en médecine. </w:t>
            </w:r>
          </w:p>
          <w:p w14:paraId="6BC4C57B"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Indique et explique le contenu de chaque chapitre d'un article de recherche original en médecine. </w:t>
            </w:r>
          </w:p>
          <w:p w14:paraId="76D8F000"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la structure, le contenu et les règles de rédaction d'une communication orale à l'appui de la recherche médicale (article ou thèse de fin d'études). </w:t>
            </w:r>
          </w:p>
          <w:p w14:paraId="7B7C14A0"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la structure, le contenu et les règles de rédaction d'une présentation d'affiche. </w:t>
            </w:r>
          </w:p>
          <w:p w14:paraId="62303C3A"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et discute les principes éthiques régissant l'écriture médicale scientifique. </w:t>
            </w:r>
          </w:p>
          <w:p w14:paraId="6F8371E2"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Évalue de manière critique en termes de structure et de contenu un fragment d'article ou d'article proposé pour la lecture et l'évaluation critique. </w:t>
            </w:r>
          </w:p>
          <w:p w14:paraId="20B4CBC3"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Choisit le type de graphique approprié pour la présentation des résultats en fonction du type et de la nature de la distribution des données (diagrammes circulaires, diagrammes en colonnes, carrés et moustaches, histogrammes, dispersion, courbes de survie de Kaplan-Meier). </w:t>
            </w:r>
          </w:p>
          <w:p w14:paraId="52F9B79A"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et applique les règles de la bonne écriture scientifique des résultats de la recherche sous forme de texte, de tableaux et de graphiques. </w:t>
            </w:r>
          </w:p>
          <w:p w14:paraId="3F56D4E5" w14:textId="51057EE3"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Produit les diapositives pour une présentation orale d'un article ou d'une thèse selon les règles de l'écriture médicale scientifique.</w:t>
            </w:r>
          </w:p>
        </w:tc>
      </w:tr>
      <w:tr w:rsidR="00A420E6" w:rsidRPr="0070312F" w14:paraId="663A7E2E"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hideMark/>
          </w:tcPr>
          <w:p w14:paraId="037CCDDB" w14:textId="0BEE8897"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Pr>
                <w:rFonts w:ascii="Cambria" w:eastAsia="Times New Roman" w:hAnsi="Cambria" w:cs="Helvetica"/>
                <w:kern w:val="0"/>
                <w:sz w:val="20"/>
                <w:szCs w:val="20"/>
                <w:lang w:eastAsia="en-GB"/>
                <w14:ligatures w14:val="none"/>
              </w:rPr>
              <w:lastRenderedPageBreak/>
              <w:t>9</w:t>
            </w:r>
          </w:p>
        </w:tc>
        <w:tc>
          <w:tcPr>
            <w:tcW w:w="2790" w:type="dxa"/>
            <w:tcBorders>
              <w:top w:val="nil"/>
              <w:left w:val="nil"/>
              <w:bottom w:val="single" w:sz="8" w:space="0" w:color="auto"/>
              <w:right w:val="single" w:sz="8" w:space="0" w:color="auto"/>
            </w:tcBorders>
            <w:shd w:val="clear" w:color="auto" w:fill="FFFFFF"/>
            <w:vAlign w:val="center"/>
            <w:hideMark/>
          </w:tcPr>
          <w:p w14:paraId="65F20826" w14:textId="77777777"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Meta-</w:t>
            </w:r>
            <w:proofErr w:type="spellStart"/>
            <w:r w:rsidRPr="0070312F">
              <w:rPr>
                <w:rFonts w:ascii="Cambria" w:eastAsia="Times New Roman" w:hAnsi="Cambria" w:cs="Helvetica"/>
                <w:kern w:val="0"/>
                <w:sz w:val="20"/>
                <w:szCs w:val="20"/>
                <w:lang w:eastAsia="en-GB"/>
                <w14:ligatures w14:val="none"/>
              </w:rPr>
              <w:t>analysis</w:t>
            </w:r>
            <w:proofErr w:type="spellEnd"/>
          </w:p>
        </w:tc>
        <w:tc>
          <w:tcPr>
            <w:tcW w:w="5640" w:type="dxa"/>
            <w:tcBorders>
              <w:top w:val="nil"/>
              <w:left w:val="nil"/>
              <w:bottom w:val="single" w:sz="8" w:space="0" w:color="auto"/>
              <w:right w:val="single" w:sz="8" w:space="0" w:color="auto"/>
            </w:tcBorders>
            <w:shd w:val="clear" w:color="auto" w:fill="FFFFFF"/>
            <w:vAlign w:val="center"/>
            <w:hideMark/>
          </w:tcPr>
          <w:p w14:paraId="7125ECDA"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Définit le rapport systématique et la méta-analyse. </w:t>
            </w:r>
          </w:p>
          <w:p w14:paraId="2ADB5407"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Explique la méthodologie d'une revue systématique avec ou sans méta-analyse.</w:t>
            </w:r>
          </w:p>
          <w:p w14:paraId="23F5B320" w14:textId="37C59B0B"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le problème de la taille de l'effet. Explique la graphique foret. </w:t>
            </w:r>
          </w:p>
          <w:p w14:paraId="39A0CABC"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Décide et justifie les indicateurs appropriés pour la méta-analyse des différents types de résultats suivis (dichotomique, quantitative, survie). </w:t>
            </w:r>
          </w:p>
          <w:p w14:paraId="3AAB1379"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Interpréter statistiquement un diagramme foret (estimation ponctuelle et intervalle de confiance à 95%). </w:t>
            </w:r>
          </w:p>
          <w:p w14:paraId="187D83FE"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Interprète cliniquement les résultats d'une méta-analyse (estimation ponctuelle et intervalle de confiance à 95%).</w:t>
            </w:r>
          </w:p>
          <w:p w14:paraId="112F7F7C" w14:textId="2C3A32E2"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Évalue la précision et la validité des résultats d'une méta-analyse.</w:t>
            </w:r>
          </w:p>
        </w:tc>
      </w:tr>
      <w:tr w:rsidR="00A420E6" w:rsidRPr="0070312F" w14:paraId="398C54CE"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tcPr>
          <w:p w14:paraId="41187FB0" w14:textId="6BD40183" w:rsidR="00A420E6"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Pr>
                <w:rFonts w:ascii="Cambria" w:eastAsia="Times New Roman" w:hAnsi="Cambria" w:cs="Helvetica"/>
                <w:kern w:val="0"/>
                <w:sz w:val="20"/>
                <w:szCs w:val="20"/>
                <w:lang w:eastAsia="en-GB"/>
                <w14:ligatures w14:val="none"/>
              </w:rPr>
              <w:t>10</w:t>
            </w:r>
          </w:p>
        </w:tc>
        <w:tc>
          <w:tcPr>
            <w:tcW w:w="2790" w:type="dxa"/>
            <w:tcBorders>
              <w:top w:val="nil"/>
              <w:left w:val="nil"/>
              <w:bottom w:val="single" w:sz="8" w:space="0" w:color="auto"/>
              <w:right w:val="single" w:sz="8" w:space="0" w:color="auto"/>
            </w:tcBorders>
            <w:shd w:val="clear" w:color="auto" w:fill="FFFFFF"/>
            <w:vAlign w:val="center"/>
          </w:tcPr>
          <w:p w14:paraId="63E75415" w14:textId="044E90A7"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La médecine fondée sur des preuves/évidences/factuelle (MBE) (EBM)</w:t>
            </w:r>
          </w:p>
        </w:tc>
        <w:tc>
          <w:tcPr>
            <w:tcW w:w="5640" w:type="dxa"/>
            <w:tcBorders>
              <w:top w:val="nil"/>
              <w:left w:val="nil"/>
              <w:bottom w:val="single" w:sz="8" w:space="0" w:color="auto"/>
              <w:right w:val="single" w:sz="8" w:space="0" w:color="auto"/>
            </w:tcBorders>
            <w:shd w:val="clear" w:color="auto" w:fill="FFFFFF"/>
            <w:vAlign w:val="center"/>
          </w:tcPr>
          <w:p w14:paraId="5510075F"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Définit la médecine fondée sur des preuves (EBM) et la recherche fondée sur des preuves. </w:t>
            </w:r>
          </w:p>
          <w:p w14:paraId="62F7A3E6"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Classifie les types d'études dans la hiérarchie des preuves pour les domaines diagnostique, pronostique, prophylactique et thérapeutique de la recherche. </w:t>
            </w:r>
          </w:p>
          <w:p w14:paraId="515786F8"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les critères d'évaluation de la validité des études dans les domaines diagnostique, pronostique, prophylactique, thérapeutique. </w:t>
            </w:r>
          </w:p>
          <w:p w14:paraId="25E1BED3"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la pertinence des résultats de l'étude dans la pratique médicale et la recherche médicale. </w:t>
            </w:r>
          </w:p>
          <w:p w14:paraId="60625940" w14:textId="77777777" w:rsid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Évalue de manière critique les preuves de la littérature sur des exemples concrets d'études médicales (facteurs de </w:t>
            </w:r>
            <w:r w:rsidRPr="00216C6C">
              <w:rPr>
                <w:rFonts w:ascii="Cambria" w:eastAsia="Times New Roman" w:hAnsi="Cambria" w:cs="Helvetica"/>
                <w:kern w:val="0"/>
                <w:sz w:val="20"/>
                <w:szCs w:val="20"/>
                <w:lang w:eastAsia="en-GB"/>
                <w14:ligatures w14:val="none"/>
              </w:rPr>
              <w:lastRenderedPageBreak/>
              <w:t xml:space="preserve">risque ou de protection, tests diagnostiques, approches thérapeutiques). </w:t>
            </w:r>
          </w:p>
          <w:p w14:paraId="3806D9B9" w14:textId="77777777" w:rsid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Évalue de manière critique les éléments probants tirés </w:t>
            </w:r>
            <w:proofErr w:type="gramStart"/>
            <w:r w:rsidRPr="00216C6C">
              <w:rPr>
                <w:rFonts w:ascii="Cambria" w:eastAsia="Times New Roman" w:hAnsi="Cambria" w:cs="Helvetica"/>
                <w:kern w:val="0"/>
                <w:sz w:val="20"/>
                <w:szCs w:val="20"/>
                <w:lang w:eastAsia="en-GB"/>
                <w14:ligatures w14:val="none"/>
              </w:rPr>
              <w:t>des rapport systématiques</w:t>
            </w:r>
            <w:proofErr w:type="gramEnd"/>
            <w:r w:rsidRPr="00216C6C">
              <w:rPr>
                <w:rFonts w:ascii="Cambria" w:eastAsia="Times New Roman" w:hAnsi="Cambria" w:cs="Helvetica"/>
                <w:kern w:val="0"/>
                <w:sz w:val="20"/>
                <w:szCs w:val="20"/>
                <w:lang w:eastAsia="en-GB"/>
                <w14:ligatures w14:val="none"/>
              </w:rPr>
              <w:t xml:space="preserve"> sur des exemples concrets. </w:t>
            </w:r>
          </w:p>
          <w:p w14:paraId="79DB5024" w14:textId="77777777" w:rsid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Évalue les résultats de recherche dans la littérature (de PubMed) selon le type d'études, selon la hiérarchie des évidences pour chaque domaine de la recherche </w:t>
            </w:r>
            <w:proofErr w:type="gramStart"/>
            <w:r w:rsidRPr="00216C6C">
              <w:rPr>
                <w:rFonts w:ascii="Cambria" w:eastAsia="Times New Roman" w:hAnsi="Cambria" w:cs="Helvetica"/>
                <w:kern w:val="0"/>
                <w:sz w:val="20"/>
                <w:szCs w:val="20"/>
                <w:lang w:eastAsia="en-GB"/>
                <w14:ligatures w14:val="none"/>
              </w:rPr>
              <w:t>clinique:</w:t>
            </w:r>
            <w:proofErr w:type="gramEnd"/>
            <w:r w:rsidRPr="00216C6C">
              <w:rPr>
                <w:rFonts w:ascii="Cambria" w:eastAsia="Times New Roman" w:hAnsi="Cambria" w:cs="Helvetica"/>
                <w:kern w:val="0"/>
                <w:sz w:val="20"/>
                <w:szCs w:val="20"/>
                <w:lang w:eastAsia="en-GB"/>
                <w14:ligatures w14:val="none"/>
              </w:rPr>
              <w:t xml:space="preserve"> pronostic, diagnostic, thérapie. </w:t>
            </w:r>
          </w:p>
          <w:p w14:paraId="6D9E6F49"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Explique en termes médicaux (pour les pairs) et critique les résultats scientifiques trouvés dans la littérature.</w:t>
            </w:r>
          </w:p>
          <w:p w14:paraId="3C919EF8" w14:textId="7220273F"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Explique en termes simples (pour les patients) les résultats scientifiques trouvés dans la littérature.</w:t>
            </w:r>
          </w:p>
        </w:tc>
      </w:tr>
      <w:tr w:rsidR="00975F38" w:rsidRPr="0070312F" w14:paraId="1DE552C6" w14:textId="77777777" w:rsidTr="0070312F">
        <w:tc>
          <w:tcPr>
            <w:tcW w:w="855" w:type="dxa"/>
            <w:tcBorders>
              <w:top w:val="nil"/>
              <w:left w:val="single" w:sz="8" w:space="0" w:color="auto"/>
              <w:bottom w:val="single" w:sz="8" w:space="0" w:color="auto"/>
              <w:right w:val="single" w:sz="8" w:space="0" w:color="auto"/>
            </w:tcBorders>
            <w:shd w:val="clear" w:color="auto" w:fill="FFFFFF"/>
            <w:vAlign w:val="center"/>
          </w:tcPr>
          <w:p w14:paraId="07FAE2A9" w14:textId="3BE401E8" w:rsidR="00975F38" w:rsidRDefault="00975F38"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Pr>
                <w:rFonts w:ascii="Cambria" w:eastAsia="Times New Roman" w:hAnsi="Cambria" w:cs="Helvetica"/>
                <w:kern w:val="0"/>
                <w:sz w:val="20"/>
                <w:szCs w:val="20"/>
                <w:lang w:eastAsia="en-GB"/>
                <w14:ligatures w14:val="none"/>
              </w:rPr>
              <w:lastRenderedPageBreak/>
              <w:t>11</w:t>
            </w:r>
          </w:p>
        </w:tc>
        <w:tc>
          <w:tcPr>
            <w:tcW w:w="2790" w:type="dxa"/>
            <w:tcBorders>
              <w:top w:val="nil"/>
              <w:left w:val="nil"/>
              <w:bottom w:val="single" w:sz="8" w:space="0" w:color="auto"/>
              <w:right w:val="single" w:sz="8" w:space="0" w:color="auto"/>
            </w:tcBorders>
            <w:shd w:val="clear" w:color="auto" w:fill="FFFFFF"/>
            <w:vAlign w:val="center"/>
          </w:tcPr>
          <w:p w14:paraId="3ED618C7" w14:textId="722641CF" w:rsidR="00975F38" w:rsidRPr="0070312F" w:rsidRDefault="00975F38"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Validité de l'étude. Mise en évidence des erreurs dans les études médicales</w:t>
            </w:r>
          </w:p>
        </w:tc>
        <w:tc>
          <w:tcPr>
            <w:tcW w:w="5640" w:type="dxa"/>
            <w:tcBorders>
              <w:top w:val="nil"/>
              <w:left w:val="nil"/>
              <w:bottom w:val="single" w:sz="8" w:space="0" w:color="auto"/>
              <w:right w:val="single" w:sz="8" w:space="0" w:color="auto"/>
            </w:tcBorders>
            <w:shd w:val="clear" w:color="auto" w:fill="FFFFFF"/>
            <w:vAlign w:val="center"/>
          </w:tcPr>
          <w:p w14:paraId="58C93EAF"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Défini</w:t>
            </w:r>
            <w:r>
              <w:rPr>
                <w:rFonts w:ascii="Cambria" w:eastAsia="Times New Roman" w:hAnsi="Cambria" w:cs="Helvetica"/>
                <w:kern w:val="0"/>
                <w:sz w:val="20"/>
                <w:szCs w:val="20"/>
                <w:lang w:eastAsia="en-GB"/>
                <w14:ligatures w14:val="none"/>
              </w:rPr>
              <w:t xml:space="preserve">r </w:t>
            </w:r>
            <w:r w:rsidRPr="00975F38">
              <w:rPr>
                <w:rFonts w:ascii="Cambria" w:eastAsia="Times New Roman" w:hAnsi="Cambria" w:cs="Helvetica"/>
                <w:kern w:val="0"/>
                <w:sz w:val="20"/>
                <w:szCs w:val="20"/>
                <w:lang w:eastAsia="en-GB"/>
                <w14:ligatures w14:val="none"/>
              </w:rPr>
              <w:t>les erreurs aléatoires.</w:t>
            </w:r>
          </w:p>
          <w:p w14:paraId="3EECC446"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 Défini</w:t>
            </w:r>
            <w:r>
              <w:rPr>
                <w:rFonts w:ascii="Cambria" w:eastAsia="Times New Roman" w:hAnsi="Cambria" w:cs="Helvetica"/>
                <w:kern w:val="0"/>
                <w:sz w:val="20"/>
                <w:szCs w:val="20"/>
                <w:lang w:eastAsia="en-GB"/>
                <w14:ligatures w14:val="none"/>
              </w:rPr>
              <w:t>r</w:t>
            </w:r>
            <w:r w:rsidRPr="00975F38">
              <w:rPr>
                <w:rFonts w:ascii="Cambria" w:eastAsia="Times New Roman" w:hAnsi="Cambria" w:cs="Helvetica"/>
                <w:kern w:val="0"/>
                <w:sz w:val="20"/>
                <w:szCs w:val="20"/>
                <w:lang w:eastAsia="en-GB"/>
                <w14:ligatures w14:val="none"/>
              </w:rPr>
              <w:t xml:space="preserve"> les erreurs systématiques (biais). Définit et illustre les facteurs de confusion. </w:t>
            </w:r>
          </w:p>
          <w:p w14:paraId="5BE1930B"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Classifie et définit les principaux types de biais de sélection. </w:t>
            </w:r>
          </w:p>
          <w:p w14:paraId="7588FC63"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Explique des méthodes qui peuvent être utilisées pour prévenir / réduire / contrôler les biais de sélection. Classifie et définit les principaux types de biais d'observation / information. </w:t>
            </w:r>
          </w:p>
          <w:p w14:paraId="56844820" w14:textId="77D3058D" w:rsidR="00975F38" w:rsidRP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Explique des méthodes qui peuvent être utilisées pour prévenir / réduire / contrôler le biais d'observation / d'information.</w:t>
            </w:r>
          </w:p>
          <w:p w14:paraId="043D60FE"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Classifie et définit les principaux types de biais d'analyse. Explique des méthodes qui peuvent être utilisées pour prévenir / réduire / contrôler les biais d'analyse. Explique des méthodes qui peuvent être utilisées pour prévenir / réduire / contrôler les facteurs de confusion. Explique et distingue la précision et l'exactitude des résultats de la recherche. </w:t>
            </w:r>
          </w:p>
          <w:p w14:paraId="4AA262A7"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Explique et distingue la validité et </w:t>
            </w:r>
            <w:proofErr w:type="gramStart"/>
            <w:r w:rsidRPr="00975F38">
              <w:rPr>
                <w:rFonts w:ascii="Cambria" w:eastAsia="Times New Roman" w:hAnsi="Cambria" w:cs="Helvetica"/>
                <w:kern w:val="0"/>
                <w:sz w:val="20"/>
                <w:szCs w:val="20"/>
                <w:lang w:eastAsia="en-GB"/>
                <w14:ligatures w14:val="none"/>
              </w:rPr>
              <w:t>la</w:t>
            </w:r>
            <w:proofErr w:type="gramEnd"/>
            <w:r w:rsidRPr="00975F38">
              <w:rPr>
                <w:rFonts w:ascii="Cambria" w:eastAsia="Times New Roman" w:hAnsi="Cambria" w:cs="Helvetica"/>
                <w:kern w:val="0"/>
                <w:sz w:val="20"/>
                <w:szCs w:val="20"/>
                <w:lang w:eastAsia="en-GB"/>
                <w14:ligatures w14:val="none"/>
              </w:rPr>
              <w:t xml:space="preserve"> relevance/pertinence des résultats de la recherche. Reconnaît différents types de biais dans des scénarios spécifiques d'études médicales. </w:t>
            </w:r>
          </w:p>
          <w:p w14:paraId="3234F0CE"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Explique l'influence des différents types de biais sur les résultats de l'étude dans des scénarios spécifiques d'études médicales. </w:t>
            </w:r>
          </w:p>
          <w:p w14:paraId="03F4563F" w14:textId="77777777" w:rsidR="00975F38"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Reconnaît les facteurs de confusion dans des scénarios spécifiques d'études médicales. </w:t>
            </w:r>
          </w:p>
          <w:p w14:paraId="36816AA7" w14:textId="3406CD07" w:rsidR="00975F38" w:rsidRPr="00216C6C" w:rsidRDefault="00975F38" w:rsidP="00975F38">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Explique l'influence des facteurs de confusion sur les résultats de l'étude dans des scénarios spécifiques d'études médicales.</w:t>
            </w:r>
          </w:p>
        </w:tc>
      </w:tr>
      <w:tr w:rsidR="00A420E6" w:rsidRPr="0070312F" w14:paraId="4D803BB8" w14:textId="77777777" w:rsidTr="00A420E6">
        <w:tc>
          <w:tcPr>
            <w:tcW w:w="855" w:type="dxa"/>
            <w:tcBorders>
              <w:top w:val="nil"/>
              <w:left w:val="single" w:sz="8" w:space="0" w:color="auto"/>
              <w:bottom w:val="single" w:sz="8" w:space="0" w:color="auto"/>
              <w:right w:val="single" w:sz="8" w:space="0" w:color="auto"/>
            </w:tcBorders>
            <w:shd w:val="clear" w:color="auto" w:fill="FFFFFF"/>
            <w:vAlign w:val="center"/>
            <w:hideMark/>
          </w:tcPr>
          <w:p w14:paraId="6D078526" w14:textId="248B68CF"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1</w:t>
            </w:r>
            <w:r w:rsidR="00975F38">
              <w:rPr>
                <w:rFonts w:ascii="Cambria" w:eastAsia="Times New Roman" w:hAnsi="Cambria" w:cs="Helvetica"/>
                <w:kern w:val="0"/>
                <w:sz w:val="20"/>
                <w:szCs w:val="20"/>
                <w:lang w:eastAsia="en-GB"/>
                <w14:ligatures w14:val="none"/>
              </w:rPr>
              <w:t>2</w:t>
            </w:r>
          </w:p>
        </w:tc>
        <w:tc>
          <w:tcPr>
            <w:tcW w:w="2790" w:type="dxa"/>
            <w:tcBorders>
              <w:top w:val="nil"/>
              <w:left w:val="nil"/>
              <w:bottom w:val="single" w:sz="8" w:space="0" w:color="auto"/>
              <w:right w:val="single" w:sz="8" w:space="0" w:color="auto"/>
            </w:tcBorders>
            <w:shd w:val="clear" w:color="auto" w:fill="FFFFFF"/>
            <w:vAlign w:val="center"/>
            <w:hideMark/>
          </w:tcPr>
          <w:p w14:paraId="548BE5DC" w14:textId="3FF2EBF0"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Pr>
                <w:rFonts w:ascii="Cambria" w:eastAsia="Times New Roman" w:hAnsi="Cambria" w:cs="Helvetica"/>
                <w:kern w:val="0"/>
                <w:sz w:val="20"/>
                <w:szCs w:val="20"/>
                <w:lang w:eastAsia="en-GB"/>
                <w14:ligatures w14:val="none"/>
              </w:rPr>
              <w:t xml:space="preserve">Recherche descriptive. </w:t>
            </w:r>
            <w:r w:rsidRPr="0070312F">
              <w:rPr>
                <w:rFonts w:ascii="Cambria" w:eastAsia="Times New Roman" w:hAnsi="Cambria" w:cs="Helvetica"/>
                <w:kern w:val="0"/>
                <w:sz w:val="20"/>
                <w:szCs w:val="20"/>
                <w:lang w:eastAsia="en-GB"/>
                <w14:ligatures w14:val="none"/>
              </w:rPr>
              <w:t>Modélisation et simulation en recherche médicale</w:t>
            </w:r>
          </w:p>
        </w:tc>
        <w:tc>
          <w:tcPr>
            <w:tcW w:w="5640" w:type="dxa"/>
            <w:tcBorders>
              <w:top w:val="nil"/>
              <w:left w:val="nil"/>
              <w:bottom w:val="single" w:sz="8" w:space="0" w:color="auto"/>
              <w:right w:val="single" w:sz="8" w:space="0" w:color="auto"/>
            </w:tcBorders>
            <w:shd w:val="clear" w:color="auto" w:fill="FFFFFF"/>
            <w:vAlign w:val="center"/>
            <w:hideMark/>
          </w:tcPr>
          <w:p w14:paraId="1D79692C" w14:textId="77777777" w:rsidR="00A420E6" w:rsidRP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Définit la modélisation et la simulation dans la recherche et explique leur but. </w:t>
            </w:r>
          </w:p>
          <w:p w14:paraId="55C48F1B" w14:textId="77777777" w:rsidR="00A420E6" w:rsidRP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Enumère et illustre les types des modèles utiles dans la recherche médicale (mentale / physique / biologique / mathématique, continue / discrète, déterministe / stochastique). </w:t>
            </w:r>
          </w:p>
          <w:p w14:paraId="70B2DBA4" w14:textId="77777777" w:rsidR="00A420E6" w:rsidRP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Enumère et explique les étapes de développement d'un modèle mathématique. </w:t>
            </w:r>
          </w:p>
          <w:p w14:paraId="18A124CE" w14:textId="77777777" w:rsidR="00A420E6" w:rsidRP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Enumère et explique les types de simulation d'un modèle mathématique. </w:t>
            </w:r>
          </w:p>
          <w:p w14:paraId="790DC0FC" w14:textId="77777777" w:rsidR="00A420E6" w:rsidRPr="00A420E6"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Exemples de modèles et de simulations dans divers domaines de la recherche médicale. </w:t>
            </w:r>
          </w:p>
          <w:p w14:paraId="15FE07DC" w14:textId="1FB16EB2"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Évalue la corrélation entre les variables quantitatives à l'aide des coefficients de corrélation et des diagrammes de </w:t>
            </w:r>
            <w:r w:rsidRPr="00A420E6">
              <w:rPr>
                <w:rFonts w:ascii="Cambria" w:eastAsia="Times New Roman" w:hAnsi="Cambria" w:cs="Helvetica"/>
                <w:kern w:val="0"/>
                <w:sz w:val="20"/>
                <w:szCs w:val="20"/>
                <w:lang w:eastAsia="en-GB"/>
                <w14:ligatures w14:val="none"/>
              </w:rPr>
              <w:lastRenderedPageBreak/>
              <w:t>dispersion. Explique et interprète les modèles par des régressions linéaires simples et multiples.</w:t>
            </w:r>
          </w:p>
        </w:tc>
      </w:tr>
      <w:tr w:rsidR="00A420E6" w:rsidRPr="0070312F" w14:paraId="643EADDD" w14:textId="77777777" w:rsidTr="00A420E6">
        <w:tc>
          <w:tcPr>
            <w:tcW w:w="855" w:type="dxa"/>
            <w:tcBorders>
              <w:top w:val="nil"/>
              <w:left w:val="single" w:sz="8" w:space="0" w:color="auto"/>
              <w:bottom w:val="single" w:sz="8" w:space="0" w:color="auto"/>
              <w:right w:val="single" w:sz="8" w:space="0" w:color="auto"/>
            </w:tcBorders>
            <w:shd w:val="clear" w:color="auto" w:fill="FFFFFF"/>
            <w:vAlign w:val="center"/>
          </w:tcPr>
          <w:p w14:paraId="0A1D0AD3" w14:textId="2DDCEFC7"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lastRenderedPageBreak/>
              <w:t>1</w:t>
            </w:r>
            <w:r w:rsidR="00975F38">
              <w:rPr>
                <w:rFonts w:ascii="Cambria" w:eastAsia="Times New Roman" w:hAnsi="Cambria" w:cs="Helvetica"/>
                <w:kern w:val="0"/>
                <w:sz w:val="20"/>
                <w:szCs w:val="20"/>
                <w:lang w:eastAsia="en-GB"/>
                <w14:ligatures w14:val="none"/>
              </w:rPr>
              <w:t>3</w:t>
            </w:r>
          </w:p>
        </w:tc>
        <w:tc>
          <w:tcPr>
            <w:tcW w:w="2790" w:type="dxa"/>
            <w:tcBorders>
              <w:top w:val="nil"/>
              <w:left w:val="nil"/>
              <w:bottom w:val="single" w:sz="8" w:space="0" w:color="auto"/>
              <w:right w:val="single" w:sz="8" w:space="0" w:color="auto"/>
            </w:tcBorders>
            <w:shd w:val="clear" w:color="auto" w:fill="FFFFFF"/>
            <w:vAlign w:val="center"/>
          </w:tcPr>
          <w:p w14:paraId="1734FC4C" w14:textId="74E22DE7"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Choix des méthodes statistiques</w:t>
            </w:r>
          </w:p>
        </w:tc>
        <w:tc>
          <w:tcPr>
            <w:tcW w:w="5640" w:type="dxa"/>
            <w:tcBorders>
              <w:top w:val="nil"/>
              <w:left w:val="nil"/>
              <w:bottom w:val="single" w:sz="8" w:space="0" w:color="auto"/>
              <w:right w:val="single" w:sz="8" w:space="0" w:color="auto"/>
            </w:tcBorders>
            <w:shd w:val="clear" w:color="auto" w:fill="FFFFFF"/>
            <w:vAlign w:val="center"/>
          </w:tcPr>
          <w:p w14:paraId="2407EE35"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Définit les tests statistiques. </w:t>
            </w:r>
          </w:p>
          <w:p w14:paraId="5F4A2152"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les estimations ponctuelles et les intervalles de confiance. </w:t>
            </w:r>
          </w:p>
          <w:p w14:paraId="39ED3E3A"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Explique les avantages offerts par les intervalles de confiance sur les résultats des tests statistiques. </w:t>
            </w:r>
          </w:p>
          <w:p w14:paraId="5D78FF13"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Nomme les facteurs qui déterminent le choix des méthodes statistiques. </w:t>
            </w:r>
          </w:p>
          <w:p w14:paraId="05DE6B1A"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Formule les hypothèses nulles et alternatives d'un test statistique pour des scénarios spécifiques de la recherche médicale.</w:t>
            </w:r>
          </w:p>
          <w:p w14:paraId="40BF66D6"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Identifie des méthodes statistiques appropriées pour comparer des groupes indépendants dans des situations spécifiques de recherche médicale.</w:t>
            </w:r>
          </w:p>
          <w:p w14:paraId="09D907E5" w14:textId="77777777"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 xml:space="preserve">Identifie les méthodes statistiques appropriées pour la comparaison des groupes dépendants (appariés) dans des situations spécifiques de recherche médicale. </w:t>
            </w:r>
          </w:p>
          <w:p w14:paraId="66BFB990" w14:textId="6610A219" w:rsidR="00A420E6" w:rsidRPr="00216C6C" w:rsidRDefault="00A420E6"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216C6C">
              <w:rPr>
                <w:rFonts w:ascii="Cambria" w:eastAsia="Times New Roman" w:hAnsi="Cambria" w:cs="Helvetica"/>
                <w:kern w:val="0"/>
                <w:sz w:val="20"/>
                <w:szCs w:val="20"/>
                <w:lang w:eastAsia="en-GB"/>
                <w14:ligatures w14:val="none"/>
              </w:rPr>
              <w:t>Identifie les méthodes statistiques appropriées pour évaluer la relation entre deux ou plusieurs variables pour des situations spécifiques de recherche médicale.</w:t>
            </w:r>
          </w:p>
        </w:tc>
      </w:tr>
      <w:tr w:rsidR="00A420E6" w:rsidRPr="0070312F" w14:paraId="76B7DA08" w14:textId="77777777" w:rsidTr="00A420E6">
        <w:tc>
          <w:tcPr>
            <w:tcW w:w="855" w:type="dxa"/>
            <w:tcBorders>
              <w:top w:val="nil"/>
              <w:left w:val="single" w:sz="8" w:space="0" w:color="auto"/>
              <w:bottom w:val="single" w:sz="8" w:space="0" w:color="auto"/>
              <w:right w:val="single" w:sz="8" w:space="0" w:color="auto"/>
            </w:tcBorders>
            <w:shd w:val="clear" w:color="auto" w:fill="FFFFFF"/>
            <w:vAlign w:val="center"/>
          </w:tcPr>
          <w:p w14:paraId="2C0EC45D" w14:textId="3D899E18" w:rsidR="00A420E6" w:rsidRPr="0070312F" w:rsidRDefault="00A420E6"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70312F">
              <w:rPr>
                <w:rFonts w:ascii="Cambria" w:eastAsia="Times New Roman" w:hAnsi="Cambria" w:cs="Helvetica"/>
                <w:kern w:val="0"/>
                <w:sz w:val="20"/>
                <w:szCs w:val="20"/>
                <w:lang w:eastAsia="en-GB"/>
                <w14:ligatures w14:val="none"/>
              </w:rPr>
              <w:t>1</w:t>
            </w:r>
            <w:r w:rsidR="00975F38">
              <w:rPr>
                <w:rFonts w:ascii="Cambria" w:eastAsia="Times New Roman" w:hAnsi="Cambria" w:cs="Helvetica"/>
                <w:kern w:val="0"/>
                <w:sz w:val="20"/>
                <w:szCs w:val="20"/>
                <w:lang w:eastAsia="en-GB"/>
                <w14:ligatures w14:val="none"/>
              </w:rPr>
              <w:t>4</w:t>
            </w:r>
          </w:p>
        </w:tc>
        <w:tc>
          <w:tcPr>
            <w:tcW w:w="2790" w:type="dxa"/>
            <w:tcBorders>
              <w:top w:val="nil"/>
              <w:left w:val="nil"/>
              <w:bottom w:val="single" w:sz="8" w:space="0" w:color="auto"/>
              <w:right w:val="single" w:sz="8" w:space="0" w:color="auto"/>
            </w:tcBorders>
            <w:shd w:val="clear" w:color="auto" w:fill="FFFFFF"/>
            <w:vAlign w:val="center"/>
          </w:tcPr>
          <w:p w14:paraId="4D8FEA11" w14:textId="5BD763EE" w:rsidR="00A420E6" w:rsidRPr="0070312F" w:rsidRDefault="00975F38" w:rsidP="00A420E6">
            <w:pPr>
              <w:spacing w:before="100" w:beforeAutospacing="1" w:after="100" w:afterAutospacing="1" w:line="240" w:lineRule="auto"/>
              <w:jc w:val="center"/>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Éthique de la recherche</w:t>
            </w:r>
          </w:p>
        </w:tc>
        <w:tc>
          <w:tcPr>
            <w:tcW w:w="5640" w:type="dxa"/>
            <w:tcBorders>
              <w:top w:val="nil"/>
              <w:left w:val="nil"/>
              <w:bottom w:val="single" w:sz="8" w:space="0" w:color="auto"/>
              <w:right w:val="single" w:sz="8" w:space="0" w:color="auto"/>
            </w:tcBorders>
            <w:shd w:val="clear" w:color="auto" w:fill="FFFFFF"/>
            <w:vAlign w:val="center"/>
          </w:tcPr>
          <w:p w14:paraId="0F833BEB" w14:textId="77777777"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Énumère les phases importantes de l'évolution historique de l'éthique de la recherche médicale. </w:t>
            </w:r>
          </w:p>
          <w:p w14:paraId="2DAD4E39" w14:textId="77777777"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Énumère les déclarations importantes de normes éthiques dans la recherche médicale. </w:t>
            </w:r>
          </w:p>
          <w:p w14:paraId="1C0EF095" w14:textId="77777777"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Énumère la composition et les fonctions d'un comité d'éthique de la recherche médicale (REC). </w:t>
            </w:r>
          </w:p>
          <w:p w14:paraId="652AA406" w14:textId="77777777"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Énumère les principes éthiques qui régissent la recherche médicale. </w:t>
            </w:r>
          </w:p>
          <w:p w14:paraId="4C0DE1BC" w14:textId="4B99C515"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Explique et discute les principes éthiques qui régissent la recherche médicale. </w:t>
            </w:r>
          </w:p>
          <w:p w14:paraId="25301BFA" w14:textId="77777777"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Énumère et explique les types de fraudes et d'inconduite dans la recherche médicale et la publication. </w:t>
            </w:r>
          </w:p>
          <w:p w14:paraId="403A888E" w14:textId="209592DE"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Répertorie les organismes de réglementation en matière de recherche médicale et d'éthique de la publication et leurs tâches spécifiques. </w:t>
            </w:r>
          </w:p>
          <w:p w14:paraId="4CDC8C47" w14:textId="77777777" w:rsidR="00975F38"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 xml:space="preserve">Identifie et explique la nécessité d'appliquer des principes éthiques dans le contexte de différents types d'études médicales concrètes. </w:t>
            </w:r>
          </w:p>
          <w:p w14:paraId="2513768E" w14:textId="41AE0AAE" w:rsidR="00A420E6" w:rsidRPr="00216C6C" w:rsidRDefault="00975F38" w:rsidP="00A420E6">
            <w:pPr>
              <w:pStyle w:val="ListParagraph"/>
              <w:numPr>
                <w:ilvl w:val="0"/>
                <w:numId w:val="4"/>
              </w:numPr>
              <w:spacing w:before="100" w:beforeAutospacing="1" w:after="100" w:afterAutospacing="1" w:line="240" w:lineRule="auto"/>
              <w:ind w:left="439" w:hanging="283"/>
              <w:rPr>
                <w:rFonts w:ascii="Cambria" w:eastAsia="Times New Roman" w:hAnsi="Cambria" w:cs="Helvetica"/>
                <w:kern w:val="0"/>
                <w:sz w:val="20"/>
                <w:szCs w:val="20"/>
                <w:lang w:eastAsia="en-GB"/>
                <w14:ligatures w14:val="none"/>
              </w:rPr>
            </w:pPr>
            <w:r w:rsidRPr="00975F38">
              <w:rPr>
                <w:rFonts w:ascii="Cambria" w:eastAsia="Times New Roman" w:hAnsi="Cambria" w:cs="Helvetica"/>
                <w:kern w:val="0"/>
                <w:sz w:val="20"/>
                <w:szCs w:val="20"/>
                <w:lang w:eastAsia="en-GB"/>
                <w14:ligatures w14:val="none"/>
              </w:rPr>
              <w:t>Spécifie les procédures d'application des principes éthiques dans le cadre de projets concrets de recherche médicale.</w:t>
            </w:r>
          </w:p>
        </w:tc>
      </w:tr>
    </w:tbl>
    <w:p w14:paraId="699937D5" w14:textId="77777777" w:rsidR="00216C6C" w:rsidRDefault="00216C6C" w:rsidP="00CD455A">
      <w:pPr>
        <w:shd w:val="clear" w:color="auto" w:fill="FFFFFF"/>
        <w:spacing w:after="0" w:line="240" w:lineRule="atLeast"/>
        <w:rPr>
          <w:rFonts w:ascii="Helvetica" w:eastAsia="Times New Roman" w:hAnsi="Helvetica" w:cs="Helvetica"/>
          <w:b/>
          <w:bCs/>
          <w:color w:val="D34949"/>
          <w:kern w:val="0"/>
          <w:lang w:eastAsia="en-GB"/>
          <w14:ligatures w14:val="none"/>
        </w:rPr>
      </w:pPr>
    </w:p>
    <w:p w14:paraId="1BF20AE8" w14:textId="3B8E9FE7" w:rsidR="00CD455A" w:rsidRPr="00A420E6" w:rsidRDefault="00CD455A" w:rsidP="00CD455A">
      <w:pPr>
        <w:shd w:val="clear" w:color="auto" w:fill="FFFFFF"/>
        <w:spacing w:after="0" w:line="240" w:lineRule="atLeast"/>
        <w:rPr>
          <w:rFonts w:ascii="Cambria" w:eastAsia="Times New Roman" w:hAnsi="Cambria" w:cs="Helvetica"/>
          <w:kern w:val="0"/>
          <w:sz w:val="20"/>
          <w:szCs w:val="20"/>
          <w:lang w:eastAsia="en-GB"/>
          <w14:ligatures w14:val="none"/>
        </w:rPr>
      </w:pPr>
      <w:r w:rsidRPr="00A420E6">
        <w:rPr>
          <w:rFonts w:ascii="Cambria" w:eastAsia="Times New Roman" w:hAnsi="Cambria" w:cs="Helvetica"/>
          <w:b/>
          <w:bCs/>
          <w:kern w:val="0"/>
          <w:sz w:val="20"/>
          <w:szCs w:val="20"/>
          <w:lang w:eastAsia="en-GB"/>
          <w14:ligatures w14:val="none"/>
        </w:rPr>
        <w:t>Validation des examens et bonus</w:t>
      </w:r>
    </w:p>
    <w:p w14:paraId="2F9922D3" w14:textId="5732B9E9" w:rsidR="00CD455A" w:rsidRPr="00A420E6"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Pour valider l'examen, les notes obtenues dans </w:t>
      </w:r>
      <w:r w:rsidR="00A420E6">
        <w:rPr>
          <w:rFonts w:ascii="Cambria" w:eastAsia="Times New Roman" w:hAnsi="Cambria" w:cs="Helvetica"/>
          <w:kern w:val="0"/>
          <w:sz w:val="20"/>
          <w:szCs w:val="20"/>
          <w:lang w:eastAsia="en-GB"/>
          <w14:ligatures w14:val="none"/>
        </w:rPr>
        <w:t xml:space="preserve">les </w:t>
      </w:r>
      <w:r w:rsidR="00C436C7">
        <w:rPr>
          <w:rFonts w:ascii="Cambria" w:eastAsia="Times New Roman" w:hAnsi="Cambria" w:cs="Helvetica"/>
          <w:kern w:val="0"/>
          <w:sz w:val="20"/>
          <w:szCs w:val="20"/>
          <w:lang w:eastAsia="en-GB"/>
          <w14:ligatures w14:val="none"/>
        </w:rPr>
        <w:t>épreuves</w:t>
      </w:r>
      <w:r w:rsidRPr="00A420E6">
        <w:rPr>
          <w:rFonts w:ascii="Cambria" w:eastAsia="Times New Roman" w:hAnsi="Cambria" w:cs="Helvetica"/>
          <w:kern w:val="0"/>
          <w:sz w:val="20"/>
          <w:szCs w:val="20"/>
          <w:lang w:eastAsia="en-GB"/>
          <w14:ligatures w14:val="none"/>
        </w:rPr>
        <w:t xml:space="preserve"> théoriques et pratiques doivent être supérieures ou au moins égales à 5.</w:t>
      </w:r>
    </w:p>
    <w:p w14:paraId="20D9C981" w14:textId="1C002F2A" w:rsidR="00CD455A" w:rsidRPr="00A420E6"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L'</w:t>
      </w:r>
      <w:r w:rsidR="00A420E6" w:rsidRPr="00A420E6">
        <w:rPr>
          <w:rFonts w:ascii="Cambria" w:eastAsia="Times New Roman" w:hAnsi="Cambria" w:cs="Helvetica"/>
          <w:kern w:val="0"/>
          <w:sz w:val="20"/>
          <w:szCs w:val="20"/>
          <w:lang w:eastAsia="en-GB"/>
          <w14:ligatures w14:val="none"/>
        </w:rPr>
        <w:t>é</w:t>
      </w:r>
      <w:r w:rsidR="00A420E6">
        <w:rPr>
          <w:rFonts w:ascii="Cambria" w:eastAsia="Times New Roman" w:hAnsi="Cambria" w:cs="Helvetica"/>
          <w:kern w:val="0"/>
          <w:sz w:val="20"/>
          <w:szCs w:val="20"/>
          <w:lang w:eastAsia="en-GB"/>
          <w14:ligatures w14:val="none"/>
        </w:rPr>
        <w:t>preuve</w:t>
      </w:r>
      <w:r w:rsidRPr="00A420E6">
        <w:rPr>
          <w:rFonts w:ascii="Cambria" w:eastAsia="Times New Roman" w:hAnsi="Cambria" w:cs="Helvetica"/>
          <w:kern w:val="0"/>
          <w:sz w:val="20"/>
          <w:szCs w:val="20"/>
          <w:lang w:eastAsia="en-GB"/>
          <w14:ligatures w14:val="none"/>
        </w:rPr>
        <w:t xml:space="preserve"> pratique a un poids de 30% dans le calcul de la note finale. </w:t>
      </w:r>
    </w:p>
    <w:p w14:paraId="5E140CF6" w14:textId="10FEB274" w:rsidR="00CD455A" w:rsidRPr="00A420E6"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Pendant les deux </w:t>
      </w:r>
      <w:r w:rsidR="00564607" w:rsidRPr="00A420E6">
        <w:rPr>
          <w:rFonts w:ascii="Cambria" w:eastAsia="Times New Roman" w:hAnsi="Cambria" w:cs="Helvetica"/>
          <w:kern w:val="0"/>
          <w:sz w:val="20"/>
          <w:szCs w:val="20"/>
          <w:lang w:eastAsia="en-GB"/>
          <w14:ligatures w14:val="none"/>
        </w:rPr>
        <w:t>é</w:t>
      </w:r>
      <w:r w:rsidR="00564607">
        <w:rPr>
          <w:rFonts w:ascii="Cambria" w:eastAsia="Times New Roman" w:hAnsi="Cambria" w:cs="Helvetica"/>
          <w:kern w:val="0"/>
          <w:sz w:val="20"/>
          <w:szCs w:val="20"/>
          <w:lang w:eastAsia="en-GB"/>
          <w14:ligatures w14:val="none"/>
        </w:rPr>
        <w:t>preuves</w:t>
      </w:r>
      <w:r w:rsidRPr="00A420E6">
        <w:rPr>
          <w:rFonts w:ascii="Cambria" w:eastAsia="Times New Roman" w:hAnsi="Cambria" w:cs="Helvetica"/>
          <w:kern w:val="0"/>
          <w:sz w:val="20"/>
          <w:szCs w:val="20"/>
          <w:lang w:eastAsia="en-GB"/>
          <w14:ligatures w14:val="none"/>
        </w:rPr>
        <w:t>, les étudiants sont autorisés à consulter un carnet personnel avec des notes manuscrites et des diagrammes. Toutefois, des questions ou des questionnaires d'exemple des années précédentes, des documents imprimés ou copiés, ainsi que des livres, NE sont PAS autorisés et seront considérés comme des cas de fraude à l'examen.</w:t>
      </w:r>
    </w:p>
    <w:p w14:paraId="424234ED" w14:textId="77777777" w:rsidR="00CD455A" w:rsidRPr="00A420E6"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Le test à choix multiple contient 40 questions à résoudre en 80 minutes. Le test sera marqué sur 40 points, avec un score de passage d'au moins 18 points.</w:t>
      </w:r>
    </w:p>
    <w:p w14:paraId="00F52FBC" w14:textId="0F4C9088" w:rsidR="00CD455A" w:rsidRPr="00A420E6"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lastRenderedPageBreak/>
        <w:t>Un maximum de 0,</w:t>
      </w:r>
      <w:r w:rsidR="00C436C7">
        <w:rPr>
          <w:rFonts w:ascii="Cambria" w:eastAsia="Times New Roman" w:hAnsi="Cambria" w:cs="Helvetica"/>
          <w:kern w:val="0"/>
          <w:sz w:val="20"/>
          <w:szCs w:val="20"/>
          <w:lang w:eastAsia="en-GB"/>
          <w14:ligatures w14:val="none"/>
        </w:rPr>
        <w:t>60</w:t>
      </w:r>
      <w:r w:rsidRPr="00A420E6">
        <w:rPr>
          <w:rFonts w:ascii="Cambria" w:eastAsia="Times New Roman" w:hAnsi="Cambria" w:cs="Helvetica"/>
          <w:kern w:val="0"/>
          <w:sz w:val="20"/>
          <w:szCs w:val="20"/>
          <w:lang w:eastAsia="en-GB"/>
          <w14:ligatures w14:val="none"/>
        </w:rPr>
        <w:t xml:space="preserve"> points de bonus peu</w:t>
      </w:r>
      <w:r w:rsidR="00C436C7">
        <w:rPr>
          <w:rFonts w:ascii="Cambria" w:eastAsia="Times New Roman" w:hAnsi="Cambria" w:cs="Helvetica"/>
          <w:kern w:val="0"/>
          <w:sz w:val="20"/>
          <w:szCs w:val="20"/>
          <w:lang w:eastAsia="en-GB"/>
          <w14:ligatures w14:val="none"/>
        </w:rPr>
        <w:t>vent</w:t>
      </w:r>
      <w:r w:rsidRPr="00A420E6">
        <w:rPr>
          <w:rFonts w:ascii="Cambria" w:eastAsia="Times New Roman" w:hAnsi="Cambria" w:cs="Helvetica"/>
          <w:kern w:val="0"/>
          <w:sz w:val="20"/>
          <w:szCs w:val="20"/>
          <w:lang w:eastAsia="en-GB"/>
          <w14:ligatures w14:val="none"/>
        </w:rPr>
        <w:t xml:space="preserve"> être attribué pour </w:t>
      </w:r>
      <w:r w:rsidR="00C436C7">
        <w:rPr>
          <w:rFonts w:ascii="Cambria" w:eastAsia="Times New Roman" w:hAnsi="Cambria" w:cs="Helvetica"/>
          <w:kern w:val="0"/>
          <w:sz w:val="20"/>
          <w:szCs w:val="20"/>
          <w:lang w:eastAsia="en-GB"/>
          <w14:ligatures w14:val="none"/>
        </w:rPr>
        <w:t>les trois devoirs théoriques optionnels.</w:t>
      </w:r>
      <w:r w:rsidRPr="00A420E6">
        <w:rPr>
          <w:rFonts w:ascii="Cambria" w:eastAsia="Times New Roman" w:hAnsi="Cambria" w:cs="Helvetica"/>
          <w:kern w:val="0"/>
          <w:sz w:val="20"/>
          <w:szCs w:val="20"/>
          <w:lang w:eastAsia="en-GB"/>
          <w14:ligatures w14:val="none"/>
        </w:rPr>
        <w:t xml:space="preserve"> Ces points peuvent être ajoutés au score final de l'</w:t>
      </w:r>
      <w:r w:rsidR="00C436C7">
        <w:rPr>
          <w:rFonts w:ascii="Cambria" w:eastAsia="Times New Roman" w:hAnsi="Cambria" w:cs="Helvetica"/>
          <w:kern w:val="0"/>
          <w:sz w:val="20"/>
          <w:szCs w:val="20"/>
          <w:lang w:eastAsia="en-GB"/>
          <w14:ligatures w14:val="none"/>
        </w:rPr>
        <w:t>épreuve</w:t>
      </w:r>
      <w:r w:rsidRPr="00A420E6">
        <w:rPr>
          <w:rFonts w:ascii="Cambria" w:eastAsia="Times New Roman" w:hAnsi="Cambria" w:cs="Helvetica"/>
          <w:kern w:val="0"/>
          <w:sz w:val="20"/>
          <w:szCs w:val="20"/>
          <w:lang w:eastAsia="en-GB"/>
          <w14:ligatures w14:val="none"/>
        </w:rPr>
        <w:t xml:space="preserve"> écrit, si le score est inférieur à 40</w:t>
      </w:r>
      <w:r w:rsidR="00C436C7">
        <w:rPr>
          <w:rFonts w:ascii="Cambria" w:eastAsia="Times New Roman" w:hAnsi="Cambria" w:cs="Helvetica"/>
          <w:kern w:val="0"/>
          <w:sz w:val="20"/>
          <w:szCs w:val="20"/>
          <w:lang w:eastAsia="en-GB"/>
          <w14:ligatures w14:val="none"/>
        </w:rPr>
        <w:t xml:space="preserve"> points et supérieur a 18 points</w:t>
      </w:r>
      <w:r w:rsidRPr="00A420E6">
        <w:rPr>
          <w:rFonts w:ascii="Cambria" w:eastAsia="Times New Roman" w:hAnsi="Cambria" w:cs="Helvetica"/>
          <w:kern w:val="0"/>
          <w:sz w:val="20"/>
          <w:szCs w:val="20"/>
          <w:lang w:eastAsia="en-GB"/>
          <w14:ligatures w14:val="none"/>
        </w:rPr>
        <w:t>.</w:t>
      </w:r>
    </w:p>
    <w:p w14:paraId="56D797F2" w14:textId="77777777" w:rsidR="00C436C7" w:rsidRDefault="00C436C7" w:rsidP="00CD455A">
      <w:pPr>
        <w:shd w:val="clear" w:color="auto" w:fill="FFFFFF"/>
        <w:spacing w:after="0" w:line="240" w:lineRule="atLeast"/>
        <w:rPr>
          <w:rFonts w:ascii="Cambria" w:eastAsia="Times New Roman" w:hAnsi="Cambria" w:cs="Helvetica"/>
          <w:b/>
          <w:bCs/>
          <w:kern w:val="0"/>
          <w:sz w:val="20"/>
          <w:szCs w:val="20"/>
          <w:lang w:eastAsia="en-GB"/>
          <w14:ligatures w14:val="none"/>
        </w:rPr>
      </w:pPr>
    </w:p>
    <w:p w14:paraId="5934E549" w14:textId="41549957" w:rsidR="00CD455A" w:rsidRPr="00A420E6" w:rsidRDefault="00CD455A" w:rsidP="00CD455A">
      <w:pPr>
        <w:shd w:val="clear" w:color="auto" w:fill="FFFFFF"/>
        <w:spacing w:after="0" w:line="240" w:lineRule="atLeast"/>
        <w:rPr>
          <w:rFonts w:ascii="Cambria" w:eastAsia="Times New Roman" w:hAnsi="Cambria" w:cs="Helvetica"/>
          <w:kern w:val="0"/>
          <w:sz w:val="20"/>
          <w:szCs w:val="20"/>
          <w:lang w:eastAsia="en-GB"/>
          <w14:ligatures w14:val="none"/>
        </w:rPr>
      </w:pPr>
      <w:r w:rsidRPr="00A420E6">
        <w:rPr>
          <w:rFonts w:ascii="Cambria" w:eastAsia="Times New Roman" w:hAnsi="Cambria" w:cs="Helvetica"/>
          <w:b/>
          <w:bCs/>
          <w:kern w:val="0"/>
          <w:sz w:val="20"/>
          <w:szCs w:val="20"/>
          <w:lang w:eastAsia="en-GB"/>
          <w14:ligatures w14:val="none"/>
        </w:rPr>
        <w:t>Méthode de correction</w:t>
      </w:r>
      <w:r w:rsidR="00C436C7">
        <w:rPr>
          <w:rFonts w:ascii="Cambria" w:eastAsia="Times New Roman" w:hAnsi="Cambria" w:cs="Helvetica"/>
          <w:b/>
          <w:bCs/>
          <w:kern w:val="0"/>
          <w:sz w:val="20"/>
          <w:szCs w:val="20"/>
          <w:lang w:eastAsia="en-GB"/>
          <w14:ligatures w14:val="none"/>
        </w:rPr>
        <w:t xml:space="preserve"> pour l’épreuve </w:t>
      </w:r>
      <w:proofErr w:type="spellStart"/>
      <w:proofErr w:type="gramStart"/>
      <w:r w:rsidR="00C436C7">
        <w:rPr>
          <w:rFonts w:ascii="Cambria" w:eastAsia="Times New Roman" w:hAnsi="Cambria" w:cs="Helvetica"/>
          <w:b/>
          <w:bCs/>
          <w:kern w:val="0"/>
          <w:sz w:val="20"/>
          <w:szCs w:val="20"/>
          <w:lang w:eastAsia="en-GB"/>
          <w14:ligatures w14:val="none"/>
        </w:rPr>
        <w:t>theorique</w:t>
      </w:r>
      <w:proofErr w:type="spellEnd"/>
      <w:r w:rsidRPr="00A420E6">
        <w:rPr>
          <w:rFonts w:ascii="Cambria" w:eastAsia="Times New Roman" w:hAnsi="Cambria" w:cs="Helvetica"/>
          <w:b/>
          <w:bCs/>
          <w:kern w:val="0"/>
          <w:sz w:val="20"/>
          <w:szCs w:val="20"/>
          <w:lang w:eastAsia="en-GB"/>
          <w14:ligatures w14:val="none"/>
        </w:rPr>
        <w:t>:</w:t>
      </w:r>
      <w:proofErr w:type="gramEnd"/>
    </w:p>
    <w:p w14:paraId="5D4CFEE1" w14:textId="77777777" w:rsidR="00CD455A" w:rsidRPr="00A420E6" w:rsidRDefault="00CD455A" w:rsidP="00CD455A">
      <w:pPr>
        <w:numPr>
          <w:ilvl w:val="0"/>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Question avec une bonne </w:t>
      </w:r>
      <w:proofErr w:type="gramStart"/>
      <w:r w:rsidRPr="00A420E6">
        <w:rPr>
          <w:rFonts w:ascii="Cambria" w:eastAsia="Times New Roman" w:hAnsi="Cambria" w:cs="Helvetica"/>
          <w:kern w:val="0"/>
          <w:sz w:val="20"/>
          <w:szCs w:val="20"/>
          <w:lang w:eastAsia="en-GB"/>
          <w14:ligatures w14:val="none"/>
        </w:rPr>
        <w:t>réponse:</w:t>
      </w:r>
      <w:proofErr w:type="gramEnd"/>
    </w:p>
    <w:p w14:paraId="6DDAEF7A"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5 concordances = 1 point</w:t>
      </w:r>
    </w:p>
    <w:p w14:paraId="03221130"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proofErr w:type="gramStart"/>
      <w:r w:rsidRPr="00A420E6">
        <w:rPr>
          <w:rFonts w:ascii="Cambria" w:eastAsia="Times New Roman" w:hAnsi="Cambria" w:cs="Helvetica"/>
          <w:kern w:val="0"/>
          <w:sz w:val="20"/>
          <w:szCs w:val="20"/>
          <w:lang w:eastAsia="en-GB"/>
          <w14:ligatures w14:val="none"/>
        </w:rPr>
        <w:t>moins</w:t>
      </w:r>
      <w:proofErr w:type="gramEnd"/>
      <w:r w:rsidRPr="00A420E6">
        <w:rPr>
          <w:rFonts w:ascii="Cambria" w:eastAsia="Times New Roman" w:hAnsi="Cambria" w:cs="Helvetica"/>
          <w:kern w:val="0"/>
          <w:sz w:val="20"/>
          <w:szCs w:val="20"/>
          <w:lang w:eastAsia="en-GB"/>
          <w14:ligatures w14:val="none"/>
        </w:rPr>
        <w:t xml:space="preserve"> de 5 concordances = 0 points</w:t>
      </w:r>
    </w:p>
    <w:p w14:paraId="4CFA0746" w14:textId="77777777" w:rsidR="00CD455A" w:rsidRPr="00A420E6" w:rsidRDefault="00CD455A" w:rsidP="00CD455A">
      <w:pPr>
        <w:numPr>
          <w:ilvl w:val="0"/>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Question avec 2 réponses </w:t>
      </w:r>
      <w:proofErr w:type="gramStart"/>
      <w:r w:rsidRPr="00A420E6">
        <w:rPr>
          <w:rFonts w:ascii="Cambria" w:eastAsia="Times New Roman" w:hAnsi="Cambria" w:cs="Helvetica"/>
          <w:kern w:val="0"/>
          <w:sz w:val="20"/>
          <w:szCs w:val="20"/>
          <w:lang w:eastAsia="en-GB"/>
          <w14:ligatures w14:val="none"/>
        </w:rPr>
        <w:t>correctes:</w:t>
      </w:r>
      <w:proofErr w:type="gramEnd"/>
    </w:p>
    <w:p w14:paraId="2EF5E20C"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5 concordances = 1 point</w:t>
      </w:r>
    </w:p>
    <w:p w14:paraId="29EDBA22"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4 concordances = 0,8 points</w:t>
      </w:r>
    </w:p>
    <w:p w14:paraId="200A60AD"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proofErr w:type="gramStart"/>
      <w:r w:rsidRPr="00A420E6">
        <w:rPr>
          <w:rFonts w:ascii="Cambria" w:eastAsia="Times New Roman" w:hAnsi="Cambria" w:cs="Helvetica"/>
          <w:kern w:val="0"/>
          <w:sz w:val="20"/>
          <w:szCs w:val="20"/>
          <w:lang w:eastAsia="en-GB"/>
          <w14:ligatures w14:val="none"/>
        </w:rPr>
        <w:t>moins</w:t>
      </w:r>
      <w:proofErr w:type="gramEnd"/>
      <w:r w:rsidRPr="00A420E6">
        <w:rPr>
          <w:rFonts w:ascii="Cambria" w:eastAsia="Times New Roman" w:hAnsi="Cambria" w:cs="Helvetica"/>
          <w:kern w:val="0"/>
          <w:sz w:val="20"/>
          <w:szCs w:val="20"/>
          <w:lang w:eastAsia="en-GB"/>
          <w14:ligatures w14:val="none"/>
        </w:rPr>
        <w:t xml:space="preserve"> de 4 concordances = 0 points</w:t>
      </w:r>
    </w:p>
    <w:p w14:paraId="492B9AC6" w14:textId="77777777" w:rsidR="00CD455A" w:rsidRPr="00A420E6" w:rsidRDefault="00CD455A" w:rsidP="00CD455A">
      <w:pPr>
        <w:numPr>
          <w:ilvl w:val="0"/>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 xml:space="preserve">Question avec 3 réponses correctes ou </w:t>
      </w:r>
      <w:proofErr w:type="gramStart"/>
      <w:r w:rsidRPr="00A420E6">
        <w:rPr>
          <w:rFonts w:ascii="Cambria" w:eastAsia="Times New Roman" w:hAnsi="Cambria" w:cs="Helvetica"/>
          <w:kern w:val="0"/>
          <w:sz w:val="20"/>
          <w:szCs w:val="20"/>
          <w:lang w:eastAsia="en-GB"/>
          <w14:ligatures w14:val="none"/>
        </w:rPr>
        <w:t>plus:</w:t>
      </w:r>
      <w:proofErr w:type="gramEnd"/>
    </w:p>
    <w:p w14:paraId="28DD742D"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5 concordances = 1 point</w:t>
      </w:r>
    </w:p>
    <w:p w14:paraId="52BE9872"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4 concordances = 0,8 points</w:t>
      </w:r>
    </w:p>
    <w:p w14:paraId="74EB2CCB"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A420E6">
        <w:rPr>
          <w:rFonts w:ascii="Cambria" w:eastAsia="Times New Roman" w:hAnsi="Cambria" w:cs="Helvetica"/>
          <w:kern w:val="0"/>
          <w:sz w:val="20"/>
          <w:szCs w:val="20"/>
          <w:lang w:eastAsia="en-GB"/>
          <w14:ligatures w14:val="none"/>
        </w:rPr>
        <w:t>3 concordances = 0,5 point</w:t>
      </w:r>
    </w:p>
    <w:p w14:paraId="7D2270B6" w14:textId="77777777" w:rsidR="00CD455A" w:rsidRPr="00A420E6"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proofErr w:type="gramStart"/>
      <w:r w:rsidRPr="00A420E6">
        <w:rPr>
          <w:rFonts w:ascii="Cambria" w:eastAsia="Times New Roman" w:hAnsi="Cambria" w:cs="Helvetica"/>
          <w:kern w:val="0"/>
          <w:sz w:val="20"/>
          <w:szCs w:val="20"/>
          <w:lang w:eastAsia="en-GB"/>
          <w14:ligatures w14:val="none"/>
        </w:rPr>
        <w:t>moins</w:t>
      </w:r>
      <w:proofErr w:type="gramEnd"/>
      <w:r w:rsidRPr="00A420E6">
        <w:rPr>
          <w:rFonts w:ascii="Cambria" w:eastAsia="Times New Roman" w:hAnsi="Cambria" w:cs="Helvetica"/>
          <w:kern w:val="0"/>
          <w:sz w:val="20"/>
          <w:szCs w:val="20"/>
          <w:lang w:eastAsia="en-GB"/>
          <w14:ligatures w14:val="none"/>
        </w:rPr>
        <w:t xml:space="preserve"> de 3 concordances = 0 points</w:t>
      </w:r>
    </w:p>
    <w:p w14:paraId="2D4AF7D2" w14:textId="77777777" w:rsidR="00CD455A" w:rsidRPr="00A420E6" w:rsidRDefault="00CD455A" w:rsidP="00CD455A">
      <w:pPr>
        <w:shd w:val="clear" w:color="auto" w:fill="FFFFFF"/>
        <w:spacing w:after="0" w:line="240" w:lineRule="atLeast"/>
        <w:rPr>
          <w:rFonts w:ascii="Cambria" w:eastAsia="Times New Roman" w:hAnsi="Cambria" w:cs="Helvetica"/>
          <w:kern w:val="0"/>
          <w:sz w:val="20"/>
          <w:szCs w:val="20"/>
          <w:lang w:eastAsia="en-GB"/>
          <w14:ligatures w14:val="none"/>
        </w:rPr>
      </w:pPr>
      <w:r w:rsidRPr="00A420E6">
        <w:rPr>
          <w:rFonts w:ascii="Cambria" w:eastAsia="Times New Roman" w:hAnsi="Cambria" w:cs="Helvetica"/>
          <w:b/>
          <w:bCs/>
          <w:kern w:val="0"/>
          <w:sz w:val="20"/>
          <w:szCs w:val="20"/>
          <w:lang w:eastAsia="en-GB"/>
          <w14:ligatures w14:val="none"/>
        </w:rPr>
        <w:t>Bibliographie</w:t>
      </w:r>
    </w:p>
    <w:p w14:paraId="1D9FBB76" w14:textId="77777777" w:rsidR="00564607" w:rsidRPr="00564607" w:rsidRDefault="00CD455A" w:rsidP="008102DD">
      <w:pPr>
        <w:numPr>
          <w:ilvl w:val="0"/>
          <w:numId w:val="2"/>
        </w:numPr>
        <w:shd w:val="clear" w:color="auto" w:fill="FFFFFF"/>
        <w:spacing w:before="100" w:beforeAutospacing="1" w:after="0" w:line="240" w:lineRule="atLeast"/>
        <w:rPr>
          <w:rFonts w:ascii="Cambria" w:hAnsi="Cambria"/>
          <w:sz w:val="20"/>
          <w:szCs w:val="20"/>
        </w:rPr>
      </w:pPr>
      <w:r w:rsidRPr="00564607">
        <w:rPr>
          <w:rFonts w:ascii="Cambria" w:eastAsia="Times New Roman" w:hAnsi="Cambria" w:cs="Helvetica"/>
          <w:kern w:val="0"/>
          <w:sz w:val="20"/>
          <w:szCs w:val="20"/>
          <w:lang w:eastAsia="en-GB"/>
          <w14:ligatures w14:val="none"/>
        </w:rPr>
        <w:t xml:space="preserve">Présentations de cours en ligne et activités pratiques en </w:t>
      </w:r>
      <w:proofErr w:type="gramStart"/>
      <w:r w:rsidRPr="00564607">
        <w:rPr>
          <w:rFonts w:ascii="Cambria" w:eastAsia="Times New Roman" w:hAnsi="Cambria" w:cs="Helvetica"/>
          <w:kern w:val="0"/>
          <w:sz w:val="20"/>
          <w:szCs w:val="20"/>
          <w:lang w:eastAsia="en-GB"/>
          <w14:ligatures w14:val="none"/>
        </w:rPr>
        <w:t>ligne:</w:t>
      </w:r>
      <w:proofErr w:type="gramEnd"/>
      <w:r w:rsidRPr="00564607">
        <w:rPr>
          <w:rFonts w:ascii="Cambria" w:eastAsia="Times New Roman" w:hAnsi="Cambria" w:cs="Helvetica"/>
          <w:kern w:val="0"/>
          <w:sz w:val="20"/>
          <w:szCs w:val="20"/>
          <w:lang w:eastAsia="en-GB"/>
          <w14:ligatures w14:val="none"/>
        </w:rPr>
        <w:t xml:space="preserve"> </w:t>
      </w:r>
      <w:hyperlink r:id="rId5" w:history="1">
        <w:r w:rsidR="00564607" w:rsidRPr="00564607">
          <w:rPr>
            <w:rStyle w:val="Hyperlink"/>
            <w:rFonts w:ascii="Cambria" w:eastAsia="Times New Roman" w:hAnsi="Cambria" w:cs="Helvetica"/>
            <w:kern w:val="0"/>
            <w:sz w:val="18"/>
            <w:szCs w:val="18"/>
            <w:lang w:eastAsia="en-GB"/>
            <w14:ligatures w14:val="none"/>
          </w:rPr>
          <w:t>https://www.info.umfcluj.ro/index.ph</w:t>
        </w:r>
        <w:r w:rsidR="00564607" w:rsidRPr="00564607">
          <w:rPr>
            <w:rStyle w:val="Hyperlink"/>
            <w:rFonts w:ascii="Cambria" w:eastAsia="Times New Roman" w:hAnsi="Cambria" w:cs="Helvetica"/>
            <w:kern w:val="0"/>
            <w:sz w:val="18"/>
            <w:szCs w:val="18"/>
            <w:lang w:eastAsia="en-GB"/>
            <w14:ligatures w14:val="none"/>
          </w:rPr>
          <w:t>p</w:t>
        </w:r>
        <w:r w:rsidR="00564607" w:rsidRPr="00564607">
          <w:rPr>
            <w:rStyle w:val="Hyperlink"/>
            <w:rFonts w:ascii="Cambria" w:eastAsia="Times New Roman" w:hAnsi="Cambria" w:cs="Helvetica"/>
            <w:kern w:val="0"/>
            <w:sz w:val="18"/>
            <w:szCs w:val="18"/>
            <w:lang w:eastAsia="en-GB"/>
            <w14:ligatures w14:val="none"/>
          </w:rPr>
          <w:t>/fr/educatie-fr/mcs-fr/md2fr/itemlist/category/252:courses-md-mcs</w:t>
        </w:r>
      </w:hyperlink>
      <w:r w:rsidR="00564607">
        <w:rPr>
          <w:rFonts w:ascii="Cambria" w:eastAsia="Times New Roman" w:hAnsi="Cambria" w:cs="Helvetica"/>
          <w:kern w:val="0"/>
          <w:sz w:val="20"/>
          <w:szCs w:val="20"/>
          <w:lang w:eastAsia="en-GB"/>
          <w14:ligatures w14:val="none"/>
        </w:rPr>
        <w:t xml:space="preserve"> </w:t>
      </w:r>
    </w:p>
    <w:p w14:paraId="52D9486C" w14:textId="52E10593" w:rsidR="00CD455A" w:rsidRPr="00564607" w:rsidRDefault="00CD455A" w:rsidP="008102DD">
      <w:pPr>
        <w:numPr>
          <w:ilvl w:val="0"/>
          <w:numId w:val="2"/>
        </w:numPr>
        <w:shd w:val="clear" w:color="auto" w:fill="FFFFFF"/>
        <w:spacing w:before="100" w:beforeAutospacing="1" w:after="0" w:line="240" w:lineRule="atLeast"/>
        <w:rPr>
          <w:rFonts w:ascii="Cambria" w:hAnsi="Cambria"/>
          <w:sz w:val="20"/>
          <w:szCs w:val="20"/>
        </w:rPr>
      </w:pPr>
      <w:r w:rsidRPr="00564607">
        <w:rPr>
          <w:rFonts w:ascii="Cambria" w:eastAsia="Times New Roman" w:hAnsi="Cambria" w:cs="Helvetica"/>
          <w:kern w:val="0"/>
          <w:sz w:val="20"/>
          <w:szCs w:val="20"/>
          <w:lang w:eastAsia="en-GB"/>
          <w14:ligatures w14:val="none"/>
        </w:rPr>
        <w:t>Matériel distribué pendant les cours</w:t>
      </w:r>
    </w:p>
    <w:sectPr w:rsidR="00CD455A" w:rsidRPr="00564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F42E5"/>
    <w:multiLevelType w:val="multilevel"/>
    <w:tmpl w:val="2922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73ADE"/>
    <w:multiLevelType w:val="hybridMultilevel"/>
    <w:tmpl w:val="33E2C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BD3021"/>
    <w:multiLevelType w:val="hybridMultilevel"/>
    <w:tmpl w:val="79E2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DC2678"/>
    <w:multiLevelType w:val="multilevel"/>
    <w:tmpl w:val="25F8F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E019D2"/>
    <w:multiLevelType w:val="hybridMultilevel"/>
    <w:tmpl w:val="1638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5401465">
    <w:abstractNumId w:val="3"/>
  </w:num>
  <w:num w:numId="2" w16cid:durableId="859441050">
    <w:abstractNumId w:val="0"/>
  </w:num>
  <w:num w:numId="3" w16cid:durableId="1301033232">
    <w:abstractNumId w:val="2"/>
  </w:num>
  <w:num w:numId="4" w16cid:durableId="1400052503">
    <w:abstractNumId w:val="4"/>
  </w:num>
  <w:num w:numId="5" w16cid:durableId="653528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55A"/>
    <w:rsid w:val="000A1763"/>
    <w:rsid w:val="00126D42"/>
    <w:rsid w:val="00216C6C"/>
    <w:rsid w:val="003310CB"/>
    <w:rsid w:val="004C7027"/>
    <w:rsid w:val="00564607"/>
    <w:rsid w:val="0070312F"/>
    <w:rsid w:val="00975F38"/>
    <w:rsid w:val="00A420E6"/>
    <w:rsid w:val="00C436C7"/>
    <w:rsid w:val="00CD455A"/>
    <w:rsid w:val="00D17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405C8"/>
  <w15:chartTrackingRefBased/>
  <w15:docId w15:val="{BD971A31-B760-4E04-8FDF-FBDD9113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paragraph" w:styleId="Heading1">
    <w:name w:val="heading 1"/>
    <w:basedOn w:val="Normal"/>
    <w:next w:val="Normal"/>
    <w:link w:val="Heading1Char"/>
    <w:uiPriority w:val="9"/>
    <w:qFormat/>
    <w:rsid w:val="00CD45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5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5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5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5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5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5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5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5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5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5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5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5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5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5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5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5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55A"/>
    <w:rPr>
      <w:rFonts w:eastAsiaTheme="majorEastAsia" w:cstheme="majorBidi"/>
      <w:color w:val="272727" w:themeColor="text1" w:themeTint="D8"/>
    </w:rPr>
  </w:style>
  <w:style w:type="paragraph" w:styleId="Title">
    <w:name w:val="Title"/>
    <w:basedOn w:val="Normal"/>
    <w:next w:val="Normal"/>
    <w:link w:val="TitleChar"/>
    <w:uiPriority w:val="10"/>
    <w:qFormat/>
    <w:rsid w:val="00CD45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5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5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5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55A"/>
    <w:pPr>
      <w:spacing w:before="160"/>
      <w:jc w:val="center"/>
    </w:pPr>
    <w:rPr>
      <w:i/>
      <w:iCs/>
      <w:color w:val="404040" w:themeColor="text1" w:themeTint="BF"/>
    </w:rPr>
  </w:style>
  <w:style w:type="character" w:customStyle="1" w:styleId="QuoteChar">
    <w:name w:val="Quote Char"/>
    <w:basedOn w:val="DefaultParagraphFont"/>
    <w:link w:val="Quote"/>
    <w:uiPriority w:val="29"/>
    <w:rsid w:val="00CD455A"/>
    <w:rPr>
      <w:i/>
      <w:iCs/>
      <w:color w:val="404040" w:themeColor="text1" w:themeTint="BF"/>
    </w:rPr>
  </w:style>
  <w:style w:type="paragraph" w:styleId="ListParagraph">
    <w:name w:val="List Paragraph"/>
    <w:basedOn w:val="Normal"/>
    <w:uiPriority w:val="34"/>
    <w:qFormat/>
    <w:rsid w:val="00CD455A"/>
    <w:pPr>
      <w:ind w:left="720"/>
      <w:contextualSpacing/>
    </w:pPr>
  </w:style>
  <w:style w:type="character" w:styleId="IntenseEmphasis">
    <w:name w:val="Intense Emphasis"/>
    <w:basedOn w:val="DefaultParagraphFont"/>
    <w:uiPriority w:val="21"/>
    <w:qFormat/>
    <w:rsid w:val="00CD455A"/>
    <w:rPr>
      <w:i/>
      <w:iCs/>
      <w:color w:val="0F4761" w:themeColor="accent1" w:themeShade="BF"/>
    </w:rPr>
  </w:style>
  <w:style w:type="paragraph" w:styleId="IntenseQuote">
    <w:name w:val="Intense Quote"/>
    <w:basedOn w:val="Normal"/>
    <w:next w:val="Normal"/>
    <w:link w:val="IntenseQuoteChar"/>
    <w:uiPriority w:val="30"/>
    <w:qFormat/>
    <w:rsid w:val="00CD45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55A"/>
    <w:rPr>
      <w:i/>
      <w:iCs/>
      <w:color w:val="0F4761" w:themeColor="accent1" w:themeShade="BF"/>
    </w:rPr>
  </w:style>
  <w:style w:type="character" w:styleId="IntenseReference">
    <w:name w:val="Intense Reference"/>
    <w:basedOn w:val="DefaultParagraphFont"/>
    <w:uiPriority w:val="32"/>
    <w:qFormat/>
    <w:rsid w:val="00CD455A"/>
    <w:rPr>
      <w:b/>
      <w:bCs/>
      <w:smallCaps/>
      <w:color w:val="0F4761" w:themeColor="accent1" w:themeShade="BF"/>
      <w:spacing w:val="5"/>
    </w:rPr>
  </w:style>
  <w:style w:type="paragraph" w:styleId="NormalWeb">
    <w:name w:val="Normal (Web)"/>
    <w:basedOn w:val="Normal"/>
    <w:uiPriority w:val="99"/>
    <w:semiHidden/>
    <w:unhideWhenUsed/>
    <w:rsid w:val="00CD455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0312F"/>
    <w:rPr>
      <w:color w:val="467886" w:themeColor="hyperlink"/>
      <w:u w:val="single"/>
    </w:rPr>
  </w:style>
  <w:style w:type="character" w:styleId="UnresolvedMention">
    <w:name w:val="Unresolved Mention"/>
    <w:basedOn w:val="DefaultParagraphFont"/>
    <w:uiPriority w:val="99"/>
    <w:semiHidden/>
    <w:unhideWhenUsed/>
    <w:rsid w:val="0070312F"/>
    <w:rPr>
      <w:color w:val="605E5C"/>
      <w:shd w:val="clear" w:color="auto" w:fill="E1DFDD"/>
    </w:rPr>
  </w:style>
  <w:style w:type="character" w:styleId="FollowedHyperlink">
    <w:name w:val="FollowedHyperlink"/>
    <w:basedOn w:val="DefaultParagraphFont"/>
    <w:uiPriority w:val="99"/>
    <w:semiHidden/>
    <w:unhideWhenUsed/>
    <w:rsid w:val="005646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7636114">
      <w:bodyDiv w:val="1"/>
      <w:marLeft w:val="0"/>
      <w:marRight w:val="0"/>
      <w:marTop w:val="0"/>
      <w:marBottom w:val="0"/>
      <w:divBdr>
        <w:top w:val="none" w:sz="0" w:space="0" w:color="auto"/>
        <w:left w:val="none" w:sz="0" w:space="0" w:color="auto"/>
        <w:bottom w:val="none" w:sz="0" w:space="0" w:color="auto"/>
        <w:right w:val="none" w:sz="0" w:space="0" w:color="auto"/>
      </w:divBdr>
      <w:divsChild>
        <w:div w:id="1906993401">
          <w:marLeft w:val="0"/>
          <w:marRight w:val="0"/>
          <w:marTop w:val="0"/>
          <w:marBottom w:val="0"/>
          <w:divBdr>
            <w:top w:val="none" w:sz="0" w:space="0" w:color="auto"/>
            <w:left w:val="none" w:sz="0" w:space="0" w:color="auto"/>
            <w:bottom w:val="single" w:sz="8"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fo.umfcluj.ro/index.php/fr/educatie-fr/mcs-fr/md2fr/itemlist/category/252:courses-md-mc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LEUCUTA DANIEL CORNELIU</dc:creator>
  <cp:keywords/>
  <dc:description/>
  <cp:lastModifiedBy>Mihaela</cp:lastModifiedBy>
  <cp:revision>6</cp:revision>
  <dcterms:created xsi:type="dcterms:W3CDTF">2024-05-20T05:00:00Z</dcterms:created>
  <dcterms:modified xsi:type="dcterms:W3CDTF">2024-05-20T05:22:00Z</dcterms:modified>
</cp:coreProperties>
</file>